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41" w:lineRule="auto"/>
        <w:ind w:left="3676" w:right="1214" w:hanging="2426"/>
        <w:outlineLvl w:val="1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辽宁省水资源税改革试点有关事项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实施方案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101" w:line="316" w:lineRule="auto"/>
        <w:ind w:left="5" w:right="1" w:firstLine="642"/>
      </w:pPr>
      <w:r>
        <w:rPr>
          <w:rFonts w:ascii="黑体" w:hAnsi="黑体" w:eastAsia="黑体" w:cs="黑体"/>
          <w:spacing w:val="13"/>
        </w:rPr>
        <w:t xml:space="preserve">第一条  </w:t>
      </w:r>
      <w:r>
        <w:rPr>
          <w:spacing w:val="13"/>
        </w:rPr>
        <w:t>全省水资源税具体适用税额，按照《辽宁省水资源</w:t>
      </w:r>
      <w:r>
        <w:rPr>
          <w:spacing w:val="4"/>
        </w:rPr>
        <w:t xml:space="preserve"> </w:t>
      </w:r>
      <w:r>
        <w:rPr>
          <w:spacing w:val="1"/>
        </w:rPr>
        <w:t>税适用税额表》执行。</w:t>
      </w:r>
    </w:p>
    <w:p>
      <w:pPr>
        <w:pStyle w:val="2"/>
        <w:spacing w:before="58" w:line="228" w:lineRule="auto"/>
        <w:ind w:left="652"/>
      </w:pPr>
      <w:r>
        <w:rPr>
          <w:rFonts w:ascii="黑体" w:hAnsi="黑体" w:eastAsia="黑体" w:cs="黑体"/>
          <w:spacing w:val="7"/>
        </w:rPr>
        <w:t xml:space="preserve">第二条  </w:t>
      </w:r>
      <w:r>
        <w:rPr>
          <w:spacing w:val="7"/>
        </w:rPr>
        <w:t>全省公共供水管网合理漏损率为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9%</w:t>
      </w:r>
      <w:r>
        <w:rPr>
          <w:spacing w:val="7"/>
        </w:rPr>
        <w:t>。</w:t>
      </w:r>
    </w:p>
    <w:p>
      <w:pPr>
        <w:pStyle w:val="2"/>
        <w:spacing w:before="175" w:line="317" w:lineRule="auto"/>
        <w:ind w:left="11" w:firstLine="640"/>
      </w:pPr>
      <w:r>
        <w:rPr>
          <w:rFonts w:ascii="黑体" w:hAnsi="黑体" w:eastAsia="黑体" w:cs="黑体"/>
          <w:spacing w:val="13"/>
        </w:rPr>
        <w:t xml:space="preserve">第三条  </w:t>
      </w:r>
      <w:r>
        <w:rPr>
          <w:spacing w:val="13"/>
        </w:rPr>
        <w:t>除水力发电取水和城镇公共供水外，对纳税人实际</w:t>
      </w:r>
      <w:r>
        <w:rPr>
          <w:spacing w:val="1"/>
        </w:rPr>
        <w:t xml:space="preserve"> </w:t>
      </w:r>
      <w:r>
        <w:rPr>
          <w:spacing w:val="5"/>
        </w:rPr>
        <w:t>取水量超过年度取水计划的部分，按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1.5 </w:t>
      </w:r>
      <w:r>
        <w:rPr>
          <w:spacing w:val="5"/>
        </w:rPr>
        <w:t>倍适用</w:t>
      </w:r>
      <w:r>
        <w:rPr>
          <w:spacing w:val="4"/>
        </w:rPr>
        <w:t>税额标准征收。</w:t>
      </w:r>
    </w:p>
    <w:p>
      <w:pPr>
        <w:pStyle w:val="2"/>
        <w:spacing w:before="58" w:line="326" w:lineRule="auto"/>
        <w:ind w:firstLine="668"/>
      </w:pPr>
      <w:r>
        <w:rPr>
          <w:spacing w:val="13"/>
        </w:rPr>
        <w:t>除《水资源税改革试点实施办法》第三条规定不缴纳</w:t>
      </w:r>
      <w:r>
        <w:rPr>
          <w:spacing w:val="12"/>
        </w:rPr>
        <w:t>水资源</w:t>
      </w:r>
      <w:r>
        <w:t xml:space="preserve"> </w:t>
      </w:r>
      <w:r>
        <w:rPr>
          <w:spacing w:val="14"/>
        </w:rPr>
        <w:t>税情形和第十六条免征或减征水资源税情形以</w:t>
      </w:r>
      <w:r>
        <w:rPr>
          <w:spacing w:val="13"/>
        </w:rPr>
        <w:t>及本方案第五条规</w:t>
      </w:r>
      <w:r>
        <w:t xml:space="preserve"> </w:t>
      </w:r>
      <w:r>
        <w:rPr>
          <w:spacing w:val="13"/>
        </w:rPr>
        <w:t>定的免征情形外，对未经批准擅自取用水，按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 xml:space="preserve">2 </w:t>
      </w:r>
      <w:r>
        <w:rPr>
          <w:spacing w:val="13"/>
        </w:rPr>
        <w:t>倍适</w:t>
      </w:r>
      <w:r>
        <w:rPr>
          <w:spacing w:val="12"/>
        </w:rPr>
        <w:t>用税额标准</w:t>
      </w:r>
      <w:r>
        <w:t xml:space="preserve"> </w:t>
      </w:r>
      <w:r>
        <w:rPr>
          <w:spacing w:val="-11"/>
        </w:rPr>
        <w:t>征收。</w:t>
      </w:r>
    </w:p>
    <w:p>
      <w:pPr>
        <w:pStyle w:val="2"/>
        <w:spacing w:before="49" w:line="323" w:lineRule="auto"/>
        <w:ind w:left="1" w:firstLine="645"/>
        <w:jc w:val="both"/>
      </w:pPr>
      <w:r>
        <w:rPr>
          <w:rFonts w:ascii="黑体" w:hAnsi="黑体" w:eastAsia="黑体" w:cs="黑体"/>
          <w:spacing w:val="13"/>
        </w:rPr>
        <w:t xml:space="preserve">第四条  </w:t>
      </w:r>
      <w:r>
        <w:rPr>
          <w:spacing w:val="13"/>
        </w:rPr>
        <w:t>除城镇公共供水、水力发电外，水资源严重短缺和</w:t>
      </w:r>
      <w:r>
        <w:rPr>
          <w:spacing w:val="4"/>
        </w:rPr>
        <w:t xml:space="preserve"> </w:t>
      </w:r>
      <w:r>
        <w:rPr>
          <w:spacing w:val="14"/>
        </w:rPr>
        <w:t>超载区取用水的适用税额，按同类区域同类</w:t>
      </w:r>
      <w:r>
        <w:rPr>
          <w:spacing w:val="13"/>
        </w:rPr>
        <w:t>型取用水户适用税额</w:t>
      </w:r>
      <w:r>
        <w:t xml:space="preserve"> </w:t>
      </w:r>
      <w:r>
        <w:rPr>
          <w:spacing w:val="-5"/>
        </w:rPr>
        <w:t>的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1.5 </w:t>
      </w:r>
      <w:r>
        <w:rPr>
          <w:spacing w:val="-5"/>
        </w:rPr>
        <w:t>倍征收。</w:t>
      </w:r>
    </w:p>
    <w:p>
      <w:pPr>
        <w:pStyle w:val="2"/>
        <w:spacing w:before="53" w:line="323" w:lineRule="auto"/>
        <w:ind w:firstLine="647"/>
        <w:jc w:val="both"/>
      </w:pPr>
      <w:r>
        <w:rPr>
          <w:rFonts w:ascii="黑体" w:hAnsi="黑体" w:eastAsia="黑体" w:cs="黑体"/>
          <w:spacing w:val="13"/>
        </w:rPr>
        <w:t xml:space="preserve">第五条  </w:t>
      </w:r>
      <w:r>
        <w:rPr>
          <w:spacing w:val="13"/>
        </w:rPr>
        <w:t>对超过规定限额的农业生产取用水，暂免征收水资</w:t>
      </w:r>
      <w:r>
        <w:rPr>
          <w:spacing w:val="4"/>
        </w:rPr>
        <w:t xml:space="preserve"> </w:t>
      </w:r>
      <w:r>
        <w:rPr>
          <w:spacing w:val="14"/>
        </w:rPr>
        <w:t>源税。主要供农村人口生活用水的集中式饮水工</w:t>
      </w:r>
      <w:r>
        <w:rPr>
          <w:spacing w:val="13"/>
        </w:rPr>
        <w:t>程取用水，暂免</w:t>
      </w:r>
      <w:r>
        <w:t xml:space="preserve"> </w:t>
      </w:r>
      <w:r>
        <w:rPr>
          <w:spacing w:val="-3"/>
        </w:rPr>
        <w:t>征水资源税。</w:t>
      </w:r>
    </w:p>
    <w:p>
      <w:pPr>
        <w:pStyle w:val="2"/>
        <w:spacing w:before="53" w:line="226" w:lineRule="auto"/>
        <w:ind w:right="2"/>
        <w:jc w:val="right"/>
      </w:pPr>
      <w:r>
        <w:rPr>
          <w:rFonts w:ascii="黑体" w:hAnsi="黑体" w:eastAsia="黑体" w:cs="黑体"/>
          <w:spacing w:val="13"/>
        </w:rPr>
        <w:t xml:space="preserve">第六条  </w:t>
      </w:r>
      <w:r>
        <w:rPr>
          <w:spacing w:val="13"/>
        </w:rPr>
        <w:t>全省火力发电冷却取用水按照实际取用水量计征水</w:t>
      </w:r>
    </w:p>
    <w:p>
      <w:pPr>
        <w:pStyle w:val="2"/>
        <w:spacing w:before="182" w:line="223" w:lineRule="auto"/>
        <w:ind w:left="21"/>
      </w:pPr>
      <w:r>
        <w:rPr>
          <w:spacing w:val="-11"/>
        </w:rPr>
        <w:t>资源税。</w:t>
      </w:r>
    </w:p>
    <w:p>
      <w:pPr>
        <w:pStyle w:val="2"/>
        <w:spacing w:before="185" w:line="316" w:lineRule="auto"/>
        <w:ind w:left="17" w:firstLine="634"/>
      </w:pPr>
      <w:r>
        <w:rPr>
          <w:rFonts w:ascii="黑体" w:hAnsi="黑体" w:eastAsia="黑体" w:cs="黑体"/>
          <w:spacing w:val="13"/>
        </w:rPr>
        <w:t xml:space="preserve">第七条  </w:t>
      </w:r>
      <w:r>
        <w:rPr>
          <w:spacing w:val="13"/>
        </w:rPr>
        <w:t>全省水资源税按季申报缴纳。不能按固定期限计算</w:t>
      </w:r>
      <w:r>
        <w:rPr>
          <w:spacing w:val="1"/>
        </w:rPr>
        <w:t xml:space="preserve"> </w:t>
      </w:r>
      <w:r>
        <w:rPr>
          <w:spacing w:val="2"/>
        </w:rPr>
        <w:t>缴纳的，可以按次申报缴纳。</w:t>
      </w:r>
    </w:p>
    <w:p>
      <w:pPr>
        <w:spacing w:line="316" w:lineRule="auto"/>
        <w:sectPr>
          <w:footerReference r:id="rId3" w:type="default"/>
          <w:pgSz w:w="11905" w:h="16840"/>
          <w:pgMar w:top="1431" w:right="1417" w:bottom="1466" w:left="1420" w:header="0" w:footer="1303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pStyle w:val="2"/>
        <w:spacing w:before="100" w:line="316" w:lineRule="auto"/>
        <w:ind w:left="9" w:firstLine="631"/>
      </w:pPr>
      <w:r>
        <w:rPr>
          <w:rFonts w:ascii="黑体" w:hAnsi="黑体" w:eastAsia="黑体" w:cs="黑体"/>
          <w:spacing w:val="13"/>
        </w:rPr>
        <w:t xml:space="preserve">第八条  </w:t>
      </w:r>
      <w:r>
        <w:rPr>
          <w:spacing w:val="13"/>
        </w:rPr>
        <w:t>全省水资源税纳税人应当向取水口所在地的税务机</w:t>
      </w:r>
      <w:r>
        <w:rPr>
          <w:spacing w:val="1"/>
        </w:rPr>
        <w:t xml:space="preserve"> </w:t>
      </w:r>
      <w:r>
        <w:t>关申报缴纳水资源税。</w:t>
      </w:r>
    </w:p>
    <w:p>
      <w:pPr>
        <w:pStyle w:val="2"/>
        <w:spacing w:before="58" w:line="316" w:lineRule="auto"/>
        <w:ind w:left="6" w:right="1" w:firstLine="634"/>
      </w:pPr>
      <w:r>
        <w:rPr>
          <w:rFonts w:ascii="黑体" w:hAnsi="黑体" w:eastAsia="黑体" w:cs="黑体"/>
          <w:spacing w:val="13"/>
        </w:rPr>
        <w:t xml:space="preserve">第九条  </w:t>
      </w:r>
      <w:r>
        <w:rPr>
          <w:spacing w:val="13"/>
        </w:rPr>
        <w:t>开征水资源税后，全省停止征收水资源费。此前预</w:t>
      </w:r>
      <w:r>
        <w:rPr>
          <w:spacing w:val="1"/>
        </w:rPr>
        <w:t xml:space="preserve"> </w:t>
      </w:r>
      <w:r>
        <w:rPr>
          <w:spacing w:val="6"/>
        </w:rPr>
        <w:t>缴或欠缴的水资源费，由原水行政主管部门负责退还或追缴。</w:t>
      </w:r>
    </w:p>
    <w:p>
      <w:pPr>
        <w:pStyle w:val="2"/>
        <w:spacing w:before="59" w:line="316" w:lineRule="auto"/>
        <w:ind w:right="1" w:firstLine="640"/>
      </w:pPr>
      <w:r>
        <w:rPr>
          <w:rFonts w:ascii="黑体" w:hAnsi="黑体" w:eastAsia="黑体" w:cs="黑体"/>
          <w:spacing w:val="13"/>
        </w:rPr>
        <w:t xml:space="preserve">第十条  </w:t>
      </w:r>
      <w:r>
        <w:rPr>
          <w:spacing w:val="13"/>
        </w:rPr>
        <w:t>全省水资源税改革试点期间涉及的有关政策，由省</w:t>
      </w:r>
      <w:r>
        <w:rPr>
          <w:spacing w:val="1"/>
        </w:rPr>
        <w:t xml:space="preserve"> </w:t>
      </w:r>
      <w:r>
        <w:rPr>
          <w:spacing w:val="5"/>
        </w:rPr>
        <w:t>财政厅会同省税务局、省水利厅等部门研究确定。</w:t>
      </w:r>
    </w:p>
    <w:p>
      <w:pPr>
        <w:pStyle w:val="2"/>
        <w:spacing w:before="58" w:line="227" w:lineRule="auto"/>
        <w:ind w:left="640"/>
      </w:pPr>
      <w:r>
        <w:rPr>
          <w:rFonts w:ascii="黑体" w:hAnsi="黑体" w:eastAsia="黑体" w:cs="黑体"/>
          <w:spacing w:val="-2"/>
        </w:rPr>
        <w:t xml:space="preserve">第十一条  </w:t>
      </w:r>
      <w:r>
        <w:rPr>
          <w:spacing w:val="-2"/>
        </w:rPr>
        <w:t>本方案自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2024 </w:t>
      </w:r>
      <w:r>
        <w:rPr>
          <w:spacing w:val="-2"/>
        </w:rPr>
        <w:t>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2"/>
        </w:rPr>
        <w:t>月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  </w:t>
      </w:r>
      <w:r>
        <w:rPr>
          <w:spacing w:val="-2"/>
        </w:rPr>
        <w:t>日起实施。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664"/>
      </w:pPr>
      <w:r>
        <w:rPr>
          <w:spacing w:val="7"/>
        </w:rPr>
        <w:t>附件：辽宁省水资源税适用税额表</w:t>
      </w:r>
    </w:p>
    <w:p>
      <w:pPr>
        <w:spacing w:line="223" w:lineRule="auto"/>
        <w:sectPr>
          <w:footerReference r:id="rId4" w:type="default"/>
          <w:pgSz w:w="11905" w:h="16840"/>
          <w:pgMar w:top="1431" w:right="1416" w:bottom="1466" w:left="1432" w:header="0" w:footer="1303" w:gutter="0"/>
          <w:cols w:space="720" w:num="1"/>
        </w:sectPr>
      </w:pPr>
    </w:p>
    <w:p>
      <w:pPr>
        <w:spacing w:line="404" w:lineRule="auto"/>
        <w:rPr>
          <w:rFonts w:ascii="Arial"/>
          <w:sz w:val="21"/>
        </w:rPr>
      </w:pPr>
    </w:p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40" w:line="225" w:lineRule="auto"/>
        <w:ind w:left="188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辽宁省水资源税适用税额表</w:t>
      </w:r>
    </w:p>
    <w:p>
      <w:pPr>
        <w:spacing w:line="132" w:lineRule="exact"/>
      </w:pPr>
    </w:p>
    <w:tbl>
      <w:tblPr>
        <w:tblStyle w:val="5"/>
        <w:tblW w:w="8617" w:type="dxa"/>
        <w:tblInd w:w="1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1727"/>
        <w:gridCol w:w="2327"/>
        <w:gridCol w:w="26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891" w:type="dxa"/>
            <w:vAlign w:val="top"/>
          </w:tcPr>
          <w:p>
            <w:pPr>
              <w:pStyle w:val="6"/>
              <w:spacing w:line="366" w:lineRule="auto"/>
            </w:pPr>
          </w:p>
          <w:p>
            <w:pPr>
              <w:spacing w:before="101" w:line="226" w:lineRule="auto"/>
              <w:ind w:left="31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31"/>
                <w:szCs w:val="31"/>
              </w:rPr>
              <w:t>水源类型</w:t>
            </w:r>
          </w:p>
        </w:tc>
        <w:tc>
          <w:tcPr>
            <w:tcW w:w="4054" w:type="dxa"/>
            <w:gridSpan w:val="2"/>
            <w:vAlign w:val="top"/>
          </w:tcPr>
          <w:p>
            <w:pPr>
              <w:pStyle w:val="6"/>
              <w:spacing w:line="366" w:lineRule="auto"/>
            </w:pPr>
          </w:p>
          <w:p>
            <w:pPr>
              <w:spacing w:before="101" w:line="226" w:lineRule="auto"/>
              <w:ind w:left="75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31"/>
                <w:szCs w:val="31"/>
              </w:rPr>
              <w:t>取用水行业或类别</w:t>
            </w:r>
          </w:p>
        </w:tc>
        <w:tc>
          <w:tcPr>
            <w:tcW w:w="2672" w:type="dxa"/>
            <w:vAlign w:val="top"/>
          </w:tcPr>
          <w:p>
            <w:pPr>
              <w:spacing w:before="156" w:line="325" w:lineRule="auto"/>
              <w:ind w:left="350" w:right="354" w:firstLine="35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1"/>
                <w:szCs w:val="31"/>
              </w:rPr>
              <w:t>税额标准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31"/>
                <w:szCs w:val="31"/>
              </w:rPr>
              <w:t>（元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31"/>
                <w:szCs w:val="31"/>
              </w:rPr>
              <w:t>/</w:t>
            </w:r>
            <w:r>
              <w:rPr>
                <w:rFonts w:ascii="宋体" w:hAnsi="宋体" w:eastAsia="宋体" w:cs="宋体"/>
                <w:b/>
                <w:bCs/>
                <w:spacing w:val="-1"/>
                <w:sz w:val="31"/>
                <w:szCs w:val="31"/>
              </w:rPr>
              <w:t>立方米）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101" w:line="226" w:lineRule="auto"/>
              <w:ind w:left="1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取用地表水</w:t>
            </w:r>
          </w:p>
        </w:tc>
        <w:tc>
          <w:tcPr>
            <w:tcW w:w="4054" w:type="dxa"/>
            <w:gridSpan w:val="2"/>
            <w:vAlign w:val="top"/>
          </w:tcPr>
          <w:p>
            <w:pPr>
              <w:spacing w:before="150" w:line="226" w:lineRule="auto"/>
              <w:ind w:left="10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城镇公共供水</w:t>
            </w:r>
          </w:p>
        </w:tc>
        <w:tc>
          <w:tcPr>
            <w:tcW w:w="2672" w:type="dxa"/>
            <w:vAlign w:val="top"/>
          </w:tcPr>
          <w:p>
            <w:pPr>
              <w:spacing w:before="209" w:line="191" w:lineRule="auto"/>
              <w:ind w:left="114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054" w:type="dxa"/>
            <w:gridSpan w:val="2"/>
            <w:vAlign w:val="top"/>
          </w:tcPr>
          <w:p>
            <w:pPr>
              <w:spacing w:before="153" w:line="226" w:lineRule="auto"/>
              <w:ind w:left="139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特种行业</w:t>
            </w:r>
          </w:p>
        </w:tc>
        <w:tc>
          <w:tcPr>
            <w:tcW w:w="2672" w:type="dxa"/>
            <w:vAlign w:val="top"/>
          </w:tcPr>
          <w:p>
            <w:pPr>
              <w:spacing w:before="211" w:line="191" w:lineRule="auto"/>
              <w:ind w:left="125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054" w:type="dxa"/>
            <w:gridSpan w:val="2"/>
            <w:vAlign w:val="top"/>
          </w:tcPr>
          <w:p>
            <w:pPr>
              <w:spacing w:before="106" w:line="421" w:lineRule="exact"/>
              <w:ind w:left="3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31"/>
                <w:szCs w:val="31"/>
              </w:rPr>
              <w:t>水力发电（元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31"/>
                <w:szCs w:val="31"/>
              </w:rPr>
              <w:t>/</w:t>
            </w:r>
            <w:r>
              <w:rPr>
                <w:rFonts w:ascii="宋体" w:hAnsi="宋体" w:eastAsia="宋体" w:cs="宋体"/>
                <w:spacing w:val="5"/>
                <w:position w:val="1"/>
                <w:sz w:val="31"/>
                <w:szCs w:val="31"/>
              </w:rPr>
              <w:t>千瓦时）</w:t>
            </w:r>
          </w:p>
        </w:tc>
        <w:tc>
          <w:tcPr>
            <w:tcW w:w="2672" w:type="dxa"/>
            <w:vAlign w:val="top"/>
          </w:tcPr>
          <w:p>
            <w:pPr>
              <w:spacing w:before="212" w:line="191" w:lineRule="auto"/>
              <w:ind w:left="984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31"/>
                <w:szCs w:val="31"/>
              </w:rPr>
              <w:t>0.005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8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054" w:type="dxa"/>
            <w:gridSpan w:val="2"/>
            <w:vAlign w:val="top"/>
          </w:tcPr>
          <w:p>
            <w:pPr>
              <w:spacing w:before="153" w:line="324" w:lineRule="auto"/>
              <w:ind w:left="918" w:right="110" w:hanging="80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其他行业（含火力发电冷却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取用水及个人）</w:t>
            </w:r>
          </w:p>
        </w:tc>
        <w:tc>
          <w:tcPr>
            <w:tcW w:w="2672" w:type="dxa"/>
            <w:vAlign w:val="top"/>
          </w:tcPr>
          <w:p>
            <w:pPr>
              <w:pStyle w:val="6"/>
              <w:spacing w:line="431" w:lineRule="auto"/>
            </w:pPr>
          </w:p>
          <w:p>
            <w:pPr>
              <w:spacing w:before="90" w:line="191" w:lineRule="auto"/>
              <w:ind w:left="114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0.4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101" w:line="226" w:lineRule="auto"/>
              <w:ind w:left="1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取用地下水</w:t>
            </w:r>
          </w:p>
        </w:tc>
        <w:tc>
          <w:tcPr>
            <w:tcW w:w="4054" w:type="dxa"/>
            <w:gridSpan w:val="2"/>
            <w:vAlign w:val="top"/>
          </w:tcPr>
          <w:p>
            <w:pPr>
              <w:spacing w:before="154" w:line="226" w:lineRule="auto"/>
              <w:ind w:left="10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城镇公共供水</w:t>
            </w:r>
          </w:p>
        </w:tc>
        <w:tc>
          <w:tcPr>
            <w:tcW w:w="2672" w:type="dxa"/>
            <w:vAlign w:val="top"/>
          </w:tcPr>
          <w:p>
            <w:pPr>
              <w:spacing w:before="213" w:line="191" w:lineRule="auto"/>
              <w:ind w:left="114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0.5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054" w:type="dxa"/>
            <w:gridSpan w:val="2"/>
            <w:vAlign w:val="top"/>
          </w:tcPr>
          <w:p>
            <w:pPr>
              <w:spacing w:before="156" w:line="226" w:lineRule="auto"/>
              <w:ind w:left="139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特种行业</w:t>
            </w:r>
          </w:p>
        </w:tc>
        <w:tc>
          <w:tcPr>
            <w:tcW w:w="2672" w:type="dxa"/>
            <w:vAlign w:val="top"/>
          </w:tcPr>
          <w:p>
            <w:pPr>
              <w:spacing w:before="218" w:line="188" w:lineRule="auto"/>
              <w:ind w:left="126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054" w:type="dxa"/>
            <w:gridSpan w:val="2"/>
            <w:vAlign w:val="top"/>
          </w:tcPr>
          <w:p>
            <w:pPr>
              <w:spacing w:before="155" w:line="226" w:lineRule="auto"/>
              <w:ind w:left="13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水源热泵</w:t>
            </w:r>
          </w:p>
        </w:tc>
        <w:tc>
          <w:tcPr>
            <w:tcW w:w="2672" w:type="dxa"/>
            <w:vAlign w:val="top"/>
          </w:tcPr>
          <w:p>
            <w:pPr>
              <w:spacing w:before="213" w:line="191" w:lineRule="auto"/>
              <w:ind w:left="114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0.1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100" w:line="226" w:lineRule="auto"/>
              <w:ind w:left="23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疏干排水</w:t>
            </w:r>
          </w:p>
        </w:tc>
        <w:tc>
          <w:tcPr>
            <w:tcW w:w="2327" w:type="dxa"/>
            <w:vAlign w:val="top"/>
          </w:tcPr>
          <w:p>
            <w:pPr>
              <w:spacing w:before="157" w:line="226" w:lineRule="auto"/>
              <w:ind w:left="5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回收利用</w:t>
            </w:r>
          </w:p>
        </w:tc>
        <w:tc>
          <w:tcPr>
            <w:tcW w:w="2672" w:type="dxa"/>
            <w:vAlign w:val="top"/>
          </w:tcPr>
          <w:p>
            <w:pPr>
              <w:spacing w:before="215" w:line="191" w:lineRule="auto"/>
              <w:ind w:left="114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0.1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27" w:type="dxa"/>
            <w:vAlign w:val="top"/>
          </w:tcPr>
          <w:p>
            <w:pPr>
              <w:spacing w:before="157" w:line="228" w:lineRule="auto"/>
              <w:ind w:left="53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直接排放</w:t>
            </w:r>
          </w:p>
        </w:tc>
        <w:tc>
          <w:tcPr>
            <w:tcW w:w="2672" w:type="dxa"/>
            <w:vAlign w:val="top"/>
          </w:tcPr>
          <w:p>
            <w:pPr>
              <w:spacing w:before="216" w:line="191" w:lineRule="auto"/>
              <w:ind w:left="114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0.2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8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054" w:type="dxa"/>
            <w:gridSpan w:val="2"/>
            <w:vAlign w:val="top"/>
          </w:tcPr>
          <w:p>
            <w:pPr>
              <w:spacing w:before="155" w:line="325" w:lineRule="auto"/>
              <w:ind w:left="918" w:right="110" w:hanging="80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其他行业（含火力发电冷却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取用水及个人）</w:t>
            </w:r>
          </w:p>
        </w:tc>
        <w:tc>
          <w:tcPr>
            <w:tcW w:w="2672" w:type="dxa"/>
            <w:vAlign w:val="top"/>
          </w:tcPr>
          <w:p>
            <w:pPr>
              <w:pStyle w:val="6"/>
              <w:spacing w:line="434" w:lineRule="auto"/>
            </w:pPr>
          </w:p>
          <w:p>
            <w:pPr>
              <w:spacing w:before="89" w:line="191" w:lineRule="auto"/>
              <w:ind w:left="116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31"/>
                <w:szCs w:val="31"/>
              </w:rPr>
              <w:t>1.2</w:t>
            </w:r>
          </w:p>
        </w:tc>
      </w:tr>
    </w:tbl>
    <w:p>
      <w:pPr>
        <w:spacing w:before="78" w:line="227" w:lineRule="auto"/>
        <w:ind w:left="26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6"/>
          <w:sz w:val="27"/>
          <w:szCs w:val="27"/>
        </w:rPr>
        <w:t>注：特种行业是指洗车、洗浴、高尔夫球场、滑雪场等。</w:t>
      </w:r>
    </w:p>
    <w:sectPr>
      <w:footerReference r:id="rId5" w:type="default"/>
      <w:pgSz w:w="11905" w:h="16840"/>
      <w:pgMar w:top="1431" w:right="1640" w:bottom="1465" w:left="1446" w:header="0" w:footer="130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49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4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4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12F226A"/>
    <w:rsid w:val="072838D8"/>
    <w:rsid w:val="4D67704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934</Words>
  <Characters>975</Characters>
  <Lines>0</Lines>
  <Paragraphs>0</Paragraphs>
  <ScaleCrop>false</ScaleCrop>
  <LinksUpToDate>false</LinksUpToDate>
  <CharactersWithSpaces>1079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2024-12-31T16:02:00Z</dcterms:created>
  <dc:creator>lnsltszyc</dc:creator>
  <cp:lastModifiedBy>朱魏伟</cp:lastModifiedBy>
  <dcterms:modified xsi:type="dcterms:W3CDTF">2024-12-31T08:29:15Z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2024-12-31T16:12:34Z</vt:filetime>
  </property>
  <property fmtid="{D5CDD505-2E9C-101B-9397-08002B2CF9AE}" pid="4" name="KSOTemplateDocerSaveRecord">
    <vt:lpwstr>eyJoZGlkIjoiMDEwZjgxYWZmY2IzNjY2NjhiZDFkMWNkYWZjMTM4ZTEiLCJ1c2VySWQiOiIzODA4MjExMzIifQ==</vt:lpwstr>
  </property>
  <property fmtid="{D5CDD505-2E9C-101B-9397-08002B2CF9AE}" pid="5" name="KSOProductBuildVer">
    <vt:lpwstr>2052-10.8.0.5988</vt:lpwstr>
  </property>
  <property fmtid="{D5CDD505-2E9C-101B-9397-08002B2CF9AE}" pid="6" name="ICV">
    <vt:lpwstr>D0E5DEE2F36949108A0F95A5E6A8563B_12</vt:lpwstr>
  </property>
</Properties>
</file>