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600" w:lineRule="exact"/>
        <w:ind w:right="0" w:rightChars="0"/>
        <w:jc w:val="center"/>
        <w:textAlignment w:val="center"/>
        <w:rPr>
          <w:rFonts w:hint="eastAsia" w:ascii="方正小标宋简体" w:hAnsi="方正小标宋简体" w:eastAsia="方正小标宋简体" w:cs="方正小标宋简体"/>
          <w:b w:val="0"/>
          <w:bCs/>
          <w:color w:val="000000"/>
          <w:sz w:val="44"/>
          <w:szCs w:val="44"/>
          <w:lang w:eastAsia="zh-CN"/>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辽宁省水利</w:t>
      </w:r>
      <w:r>
        <w:rPr>
          <w:rFonts w:hint="eastAsia" w:ascii="方正小标宋简体" w:hAnsi="方正小标宋简体" w:eastAsia="方正小标宋简体" w:cs="方正小标宋简体"/>
          <w:b w:val="0"/>
          <w:bCs/>
          <w:color w:val="000000"/>
          <w:sz w:val="44"/>
          <w:szCs w:val="44"/>
          <w:lang w:val="en-US" w:eastAsia="zh-CN"/>
        </w:rPr>
        <w:t>系统涉企</w:t>
      </w:r>
      <w:r>
        <w:rPr>
          <w:rFonts w:hint="eastAsia" w:ascii="方正小标宋简体" w:hAnsi="方正小标宋简体" w:eastAsia="方正小标宋简体" w:cs="方正小标宋简体"/>
          <w:b w:val="0"/>
          <w:bCs/>
          <w:color w:val="000000"/>
          <w:sz w:val="44"/>
          <w:szCs w:val="44"/>
          <w:lang w:eastAsia="zh-CN"/>
        </w:rPr>
        <w:t>行政检查事项清单</w:t>
      </w:r>
      <w:r>
        <w:rPr>
          <w:rFonts w:hint="eastAsia" w:ascii="方正小标宋简体" w:hAnsi="方正小标宋简体" w:eastAsia="方正小标宋简体" w:cs="方正小标宋简体"/>
          <w:b w:val="0"/>
          <w:bCs/>
          <w:i w:val="0"/>
          <w:color w:val="000000"/>
          <w:kern w:val="0"/>
          <w:sz w:val="44"/>
          <w:szCs w:val="44"/>
          <w:u w:val="none"/>
          <w:lang w:val="en-US" w:eastAsia="zh-CN" w:bidi="ar"/>
        </w:rPr>
        <w:t>（2026年版）</w:t>
      </w:r>
    </w:p>
    <w:p>
      <w:pPr>
        <w:pStyle w:val="6"/>
      </w:pPr>
    </w:p>
    <w:tbl>
      <w:tblPr>
        <w:tblStyle w:val="10"/>
        <w:tblW w:w="2053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50"/>
        <w:gridCol w:w="1867"/>
        <w:gridCol w:w="1301"/>
        <w:gridCol w:w="1083"/>
        <w:gridCol w:w="1467"/>
        <w:gridCol w:w="7083"/>
        <w:gridCol w:w="1534"/>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0" w:hRule="atLeast"/>
          <w:tblHeader/>
        </w:trPr>
        <w:tc>
          <w:tcPr>
            <w:tcW w:w="350" w:type="dxa"/>
            <w:vAlign w:val="center"/>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bCs w:val="0"/>
                <w:i w:val="0"/>
                <w:color w:val="000000"/>
                <w:sz w:val="21"/>
                <w:szCs w:val="21"/>
                <w:highlight w:val="none"/>
                <w:u w:val="none"/>
              </w:rPr>
            </w:pPr>
            <w:r>
              <w:rPr>
                <w:rFonts w:hint="eastAsia" w:asciiTheme="minorEastAsia" w:hAnsiTheme="minorEastAsia" w:eastAsiaTheme="minorEastAsia" w:cstheme="minorEastAsia"/>
                <w:b/>
                <w:bCs w:val="0"/>
                <w:i w:val="0"/>
                <w:color w:val="000000"/>
                <w:kern w:val="0"/>
                <w:sz w:val="21"/>
                <w:szCs w:val="21"/>
                <w:highlight w:val="none"/>
                <w:u w:val="none"/>
                <w:lang w:val="en-US" w:eastAsia="zh-CN" w:bidi="ar"/>
              </w:rPr>
              <w:t>序号</w:t>
            </w:r>
          </w:p>
        </w:tc>
        <w:tc>
          <w:tcPr>
            <w:tcW w:w="1867" w:type="dxa"/>
            <w:vAlign w:val="center"/>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bCs w:val="0"/>
                <w:i w:val="0"/>
                <w:color w:val="000000"/>
                <w:sz w:val="21"/>
                <w:szCs w:val="21"/>
                <w:highlight w:val="none"/>
                <w:u w:val="none"/>
              </w:rPr>
            </w:pPr>
            <w:r>
              <w:rPr>
                <w:rFonts w:hint="eastAsia" w:asciiTheme="minorEastAsia" w:hAnsiTheme="minorEastAsia" w:eastAsiaTheme="minorEastAsia" w:cstheme="minorEastAsia"/>
                <w:b/>
                <w:bCs w:val="0"/>
                <w:sz w:val="21"/>
                <w:szCs w:val="21"/>
                <w:highlight w:val="none"/>
                <w:lang w:val="en-US" w:eastAsia="zh-CN"/>
              </w:rPr>
              <w:t>行政</w:t>
            </w:r>
            <w:r>
              <w:rPr>
                <w:rFonts w:hint="eastAsia" w:asciiTheme="minorEastAsia" w:hAnsiTheme="minorEastAsia" w:eastAsiaTheme="minorEastAsia" w:cstheme="minorEastAsia"/>
                <w:b/>
                <w:bCs w:val="0"/>
                <w:sz w:val="21"/>
                <w:szCs w:val="21"/>
                <w:highlight w:val="none"/>
                <w:lang w:eastAsia="zh-CN"/>
              </w:rPr>
              <w:t>检查事项</w:t>
            </w:r>
            <w:r>
              <w:rPr>
                <w:rFonts w:hint="eastAsia" w:asciiTheme="minorEastAsia" w:hAnsiTheme="minorEastAsia" w:eastAsiaTheme="minorEastAsia" w:cstheme="minorEastAsia"/>
                <w:b/>
                <w:bCs w:val="0"/>
                <w:sz w:val="21"/>
                <w:szCs w:val="21"/>
                <w:highlight w:val="none"/>
              </w:rPr>
              <w:t>名称</w:t>
            </w:r>
          </w:p>
        </w:tc>
        <w:tc>
          <w:tcPr>
            <w:tcW w:w="1301" w:type="dxa"/>
            <w:vAlign w:val="center"/>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bCs w:val="0"/>
                <w:i w:val="0"/>
                <w:color w:val="000000"/>
                <w:kern w:val="0"/>
                <w:sz w:val="21"/>
                <w:szCs w:val="21"/>
                <w:highlight w:val="none"/>
                <w:u w:val="none"/>
                <w:lang w:val="en-US" w:eastAsia="zh-CN" w:bidi="ar"/>
              </w:rPr>
            </w:pPr>
            <w:r>
              <w:rPr>
                <w:rFonts w:hint="eastAsia" w:asciiTheme="minorEastAsia" w:hAnsiTheme="minorEastAsia" w:eastAsiaTheme="minorEastAsia" w:cstheme="minorEastAsia"/>
                <w:b/>
                <w:bCs w:val="0"/>
                <w:i w:val="0"/>
                <w:color w:val="000000"/>
                <w:kern w:val="0"/>
                <w:sz w:val="21"/>
                <w:szCs w:val="21"/>
                <w:highlight w:val="none"/>
                <w:u w:val="none"/>
                <w:lang w:val="en-US" w:eastAsia="zh-CN" w:bidi="ar"/>
              </w:rPr>
              <w:t>实施行政检查行业领域</w:t>
            </w:r>
          </w:p>
        </w:tc>
        <w:tc>
          <w:tcPr>
            <w:tcW w:w="1083" w:type="dxa"/>
            <w:vAlign w:val="center"/>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bCs w:val="0"/>
                <w:sz w:val="21"/>
                <w:szCs w:val="21"/>
                <w:highlight w:val="none"/>
              </w:rPr>
            </w:pPr>
            <w:r>
              <w:rPr>
                <w:rFonts w:hint="eastAsia" w:asciiTheme="minorEastAsia" w:hAnsiTheme="minorEastAsia" w:eastAsiaTheme="minorEastAsia" w:cstheme="minorEastAsia"/>
                <w:b/>
                <w:bCs w:val="0"/>
                <w:i w:val="0"/>
                <w:color w:val="000000"/>
                <w:kern w:val="0"/>
                <w:sz w:val="21"/>
                <w:szCs w:val="21"/>
                <w:highlight w:val="none"/>
                <w:u w:val="none"/>
                <w:lang w:val="en-US" w:eastAsia="zh-CN" w:bidi="ar"/>
              </w:rPr>
              <w:t>检查</w:t>
            </w:r>
            <w:r>
              <w:rPr>
                <w:rFonts w:hint="eastAsia" w:asciiTheme="minorEastAsia" w:hAnsiTheme="minorEastAsia" w:eastAsiaTheme="minorEastAsia" w:cstheme="minorEastAsia"/>
                <w:b/>
                <w:bCs w:val="0"/>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bCs w:val="0"/>
                <w:i w:val="0"/>
                <w:color w:val="000000"/>
                <w:kern w:val="0"/>
                <w:sz w:val="21"/>
                <w:szCs w:val="21"/>
                <w:highlight w:val="none"/>
                <w:u w:val="none"/>
                <w:lang w:val="en-US" w:eastAsia="zh-CN" w:bidi="ar"/>
              </w:rPr>
              <w:t>方式</w:t>
            </w:r>
          </w:p>
        </w:tc>
        <w:tc>
          <w:tcPr>
            <w:tcW w:w="1467" w:type="dxa"/>
            <w:vAlign w:val="center"/>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bCs w:val="0"/>
                <w:sz w:val="21"/>
                <w:szCs w:val="21"/>
                <w:highlight w:val="none"/>
              </w:rPr>
            </w:pPr>
            <w:r>
              <w:rPr>
                <w:rFonts w:hint="eastAsia" w:asciiTheme="minorEastAsia" w:hAnsiTheme="minorEastAsia" w:eastAsiaTheme="minorEastAsia" w:cstheme="minorEastAsia"/>
                <w:b/>
                <w:bCs w:val="0"/>
                <w:sz w:val="21"/>
                <w:szCs w:val="21"/>
                <w:highlight w:val="none"/>
                <w:lang w:eastAsia="zh-CN"/>
              </w:rPr>
              <w:t>含实施层级</w:t>
            </w:r>
          </w:p>
        </w:tc>
        <w:tc>
          <w:tcPr>
            <w:tcW w:w="7083"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eastAsia" w:asciiTheme="minorEastAsia" w:hAnsiTheme="minorEastAsia" w:eastAsiaTheme="minorEastAsia" w:cstheme="minorEastAsia"/>
                <w:b/>
                <w:bCs w:val="0"/>
                <w:sz w:val="21"/>
                <w:szCs w:val="21"/>
                <w:highlight w:val="none"/>
                <w:lang w:val="en-US" w:eastAsia="zh-CN"/>
              </w:rPr>
            </w:pPr>
            <w:r>
              <w:rPr>
                <w:rFonts w:hint="eastAsia" w:asciiTheme="minorEastAsia" w:hAnsiTheme="minorEastAsia" w:eastAsiaTheme="minorEastAsia" w:cstheme="minorEastAsia"/>
                <w:b/>
                <w:bCs w:val="0"/>
                <w:sz w:val="21"/>
                <w:szCs w:val="21"/>
                <w:highlight w:val="none"/>
                <w:lang w:val="en-US" w:eastAsia="zh-CN"/>
              </w:rPr>
              <w:t>检查标准</w:t>
            </w:r>
          </w:p>
        </w:tc>
        <w:tc>
          <w:tcPr>
            <w:tcW w:w="1534" w:type="dxa"/>
            <w:vAlign w:val="center"/>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bCs w:val="0"/>
                <w:sz w:val="21"/>
                <w:szCs w:val="21"/>
                <w:highlight w:val="none"/>
                <w:lang w:val="en-US" w:eastAsia="zh-CN"/>
              </w:rPr>
            </w:pPr>
            <w:r>
              <w:rPr>
                <w:rFonts w:hint="eastAsia" w:asciiTheme="minorEastAsia" w:hAnsiTheme="minorEastAsia" w:eastAsiaTheme="minorEastAsia" w:cstheme="minorEastAsia"/>
                <w:b/>
                <w:bCs w:val="0"/>
                <w:sz w:val="21"/>
                <w:szCs w:val="21"/>
                <w:highlight w:val="none"/>
                <w:lang w:val="en-US" w:eastAsia="zh-CN"/>
              </w:rPr>
              <w:t>检查频次</w:t>
            </w:r>
          </w:p>
        </w:tc>
        <w:tc>
          <w:tcPr>
            <w:tcW w:w="5845"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eastAsia" w:asciiTheme="minorEastAsia" w:hAnsiTheme="minorEastAsia" w:eastAsiaTheme="minorEastAsia" w:cstheme="minorEastAsia"/>
                <w:b/>
                <w:bCs w:val="0"/>
                <w:i w:val="0"/>
                <w:color w:val="000000"/>
                <w:sz w:val="21"/>
                <w:szCs w:val="21"/>
                <w:highlight w:val="none"/>
                <w:u w:val="none"/>
              </w:rPr>
            </w:pPr>
            <w:r>
              <w:rPr>
                <w:rFonts w:hint="eastAsia" w:asciiTheme="minorEastAsia" w:hAnsiTheme="minorEastAsia" w:eastAsiaTheme="minorEastAsia" w:cstheme="minorEastAsia"/>
                <w:b/>
                <w:bCs w:val="0"/>
                <w:sz w:val="21"/>
                <w:szCs w:val="21"/>
                <w:highlight w:val="none"/>
                <w:lang w:eastAsia="zh-CN"/>
              </w:rPr>
              <w:t>检查依据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0" w:hRule="atLeast"/>
        </w:trPr>
        <w:tc>
          <w:tcPr>
            <w:tcW w:w="350"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1</w:t>
            </w:r>
          </w:p>
        </w:tc>
        <w:tc>
          <w:tcPr>
            <w:tcW w:w="18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水资源开发、利用、节约、保护检查</w:t>
            </w:r>
          </w:p>
        </w:tc>
        <w:tc>
          <w:tcPr>
            <w:tcW w:w="1301"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水利行业</w:t>
            </w:r>
          </w:p>
        </w:tc>
        <w:tc>
          <w:tcPr>
            <w:tcW w:w="1083"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现场检查、非现场检查相结合</w:t>
            </w:r>
          </w:p>
        </w:tc>
        <w:tc>
          <w:tcPr>
            <w:tcW w:w="14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省水利厅，设区的市级、县级水行政主管部门</w:t>
            </w:r>
          </w:p>
        </w:tc>
        <w:tc>
          <w:tcPr>
            <w:tcW w:w="7083" w:type="dxa"/>
            <w:shd w:val="clear" w:color="auto" w:fill="auto"/>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《取水许可管理办法》</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《水资源税改革试点实施办法》（财税〔2024〕28号）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《水利部关于强化取水口取水监测计量的意见》（水资管〔2021〕188号）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 国家发展改革委关于实施取用水领域信用评价的指导意见》（水资管〔2024〕172号）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 国家电网有限公司关于加快推进农业灌溉机井“以电折水”取水计量和管理工作的通知》（水资管〔2024〕176号）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《水利部关于印发〈全国水资源监测体系建设总体工作方案（2024-2027年）〉的通知》（水资管〔2024〕231号）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《计划用水管理办法》（水资源〔2014〕360号）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《建设项目水资源论证导则》（GB/T 35580-2017）</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《电子证照取水许可证》（SL/T 816-2021）</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《取水计量技术导则》（GB/T 28714-2023）</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《农灌机井取水量计量监测方法》（JJF 2182-2024)</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《产业结构调整指导目录（2024年本）》</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《水利部关于印发钢铁等十八项工业用水定额的通知》（水节约〔2019〕373号）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《水利部关于印发小麦等十项用水定额的通知》（水节约〔2020〕9号）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 工业和信息化部关于印发造纸等七项工业用水定额的通知》（水节约〔2020〕311号）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 工业和信息化部关于印发水泥等八项工业用水定额的通知》（水节约〔2020〕290号）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 工业和信息化部关于印发铁合金工业用水定额的通知》（水节约〔2021〕264号）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GB/T 18916系列工业用水定额国家标准</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GB/T 42865系列服务业用水定额国家标准</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辽宁省水利厅关于使用新修订版辽宁省地方标准《行业用水定额》》的通知</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《用水单位水计量器具配备和管理通则》（GB/T 24789-2022）</w:t>
            </w:r>
          </w:p>
        </w:tc>
        <w:tc>
          <w:tcPr>
            <w:tcW w:w="1534"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每年不超过1次。</w:t>
            </w:r>
          </w:p>
        </w:tc>
        <w:tc>
          <w:tcPr>
            <w:tcW w:w="5845"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【法律】《中华人民共和国水法》（1988年1月21日中华人民共和国主席令第61号，2002年8月29日修订，2016年7月2日第二次修正）第十二条第四款、第五十三条第一款、第五十九条第一款</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【行政法规】《取水许可和水资源费征收管理条例》（2006年2月21日中华人民共和国国务院令第460号，2017年3月1日修订）第三条第一款、第三十八条第一款、第四十五条第一款</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【行政法规】《节约用水条例》（2024年3月9日中华人民共和国国务院令第776号）第七条第二款、第四十三条第一款</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【行政法规】《地下水管理条例》（2021年10月21日国务院令第748号）第五条第二款</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【地方性法规】《辽宁省节约用水条例》（2018年11月28日辽宁省第十三届人民代表大会常务委员会第七次会议通过）第三十四条第一款</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【地方性法规】《辽宁省地下水资源保护条例》（2003年8月1日辽宁省第十届人民代表大会常务委员会第三次会议通过，2020年3月30日第四次修正）第七条</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【部门规章】《取水许可管理办法》（2008年4月9日水利部令第34号，2017年12月22日第二次修正）第三条第三款</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【政府规章】《辽宁省取水许可和水资源费征收管理实施办法》（2007年1月16日辽宁省人民政府令第201号，2017年8月16日第二次修正）第三十条第一款</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【政府规章】《辽宁省禁止提取地下水规定》（2011年3月3日辽宁省人民政府令第255号）第十三条第一款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0" w:hRule="atLeast"/>
        </w:trPr>
        <w:tc>
          <w:tcPr>
            <w:tcW w:w="350"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2</w:t>
            </w:r>
          </w:p>
        </w:tc>
        <w:tc>
          <w:tcPr>
            <w:tcW w:w="18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水利行业安全（质量）事故调查处理及安全生产（工程质量）监督检查</w:t>
            </w:r>
          </w:p>
        </w:tc>
        <w:tc>
          <w:tcPr>
            <w:tcW w:w="1301" w:type="dxa"/>
            <w:vMerge w:val="restart"/>
            <w:vAlign w:val="top"/>
          </w:tcPr>
          <w:p>
            <w:pPr>
              <w:keepNext w:val="0"/>
              <w:keepLines w:val="0"/>
              <w:pageBreakBefore w:val="0"/>
              <w:widowControl w:val="0"/>
              <w:suppressLineNumbers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水利行业</w:t>
            </w:r>
          </w:p>
        </w:tc>
        <w:tc>
          <w:tcPr>
            <w:tcW w:w="1083"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现场检查、非现场检查相结合</w:t>
            </w:r>
          </w:p>
        </w:tc>
        <w:tc>
          <w:tcPr>
            <w:tcW w:w="14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省水利厅，设区的市级、县级水行政主管部门</w:t>
            </w:r>
          </w:p>
        </w:tc>
        <w:tc>
          <w:tcPr>
            <w:tcW w:w="7083" w:type="dxa"/>
            <w:vAlign w:val="top"/>
          </w:tcPr>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《中华人民共和国行政许可法》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《中华人民共和国安全生产法》</w:t>
            </w:r>
          </w:p>
          <w:p>
            <w:pPr>
              <w:keepNext w:val="0"/>
              <w:keepLines w:val="0"/>
              <w:widowControl/>
              <w:suppressLineNumbers w:val="0"/>
              <w:jc w:val="both"/>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《建设工程质量管理条例》</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《建设工程勘察设计管理条例》</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《水行政许可实施办法》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《建设工程勘察质量管理办法》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《水利工程质量事故处理规定》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《水利工程质量管理规定》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《水利工程质量检测管理规定》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《水利工程建设监理规定》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《水利工程建设项目验收管理规定》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《水利工程质量监督管理规定》(水建〔1997〕339号)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《辽宁省建设工程抗震设防要求管理办法》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《水利部关于印发水利工程建设项目法人管理指导意见的通知》(水建设〔2020〕58号)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《水利工程勘测设计失误问责办法(试行)》(水总〔2020〕33号)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《水利工程设计变更管理暂行办法》(水规计〔2020〕283号)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《水利水电建设工程验收规程》(SL/T223-2025)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《水利水电工程单元工程施工质量验收标准》(SL/T631.1-SL/T631.8-2025)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《水文设施工程施工及验收规程》（SL/T 649-2025）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《水利部关于印发水利工程建设项目法人管理指导意见的通知》（水建设〔2020〕258号）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《水利工程勘测设计失误问责办法（试行）》（水总〔2020〕33号）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《水利工程设计变更管理暂行办法》（水规计〔2020〕283号）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《水利水电建设工程验收规程》（SL/T 223-2025）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《水利水电工程单元工程施工质量验收标准》（SL/T 631.1~SL/T 631.4-2025）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《水利水电工程单元工程施工质量验收评定标准》（SL 635~SL 639-2012）</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《水利安全生产监督管理办法（试行）》（水监督〔2021〕412号）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《构建水利安全生产风险管控“六项机制”的实施意见》（水监督〔2022〕309号）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《水利安全生产风险管控“六项机制”实施工作指南》（办监督函〔2024〕591号）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《水利部办公厅关于抓好水利安全生产风险管控“六项机制”提质增效的通知》（办监督函〔2026〕351号）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《水利水电工程危险源辨识与风险评价导则》SL/T 843—2025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《水利水电工程生产安全重大事故隐患判定导则》SL/T 842—2025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《水利工程建设安全生产管理规定》水利部令第 26 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《水利水电工程施工企业主要负责人、项目负责人和专职安全生产管理人员安全生产考核管理办法》（水监督〔2022〕326号）</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《辽宁省水利水电工程施工企业主要负责人、项目负责人和专职安全管理人员安全生产考核管理办法》（辽水监督〔2023〕233号）</w:t>
            </w:r>
          </w:p>
        </w:tc>
        <w:tc>
          <w:tcPr>
            <w:tcW w:w="1534"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每年不超过1次。</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派驻质量监督项目站或监督组检查不设上限。</w:t>
            </w:r>
          </w:p>
        </w:tc>
        <w:tc>
          <w:tcPr>
            <w:tcW w:w="5845"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【法律】《中华人民共和国安全生产法》（2002年6月29日中华人民共和国主席令第70号，2021年6月10日第三次修正）第十条第二款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第二十七条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第六十五条第一款</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kern w:val="0"/>
                <w:sz w:val="21"/>
                <w:szCs w:val="21"/>
                <w:highlight w:val="none"/>
                <w:u w:val="none"/>
                <w:lang w:val="en-US" w:eastAsia="zh-CN" w:bidi="ar"/>
              </w:rPr>
            </w:pPr>
            <w:r>
              <w:rPr>
                <w:rFonts w:hint="eastAsia" w:ascii="宋体" w:hAnsi="宋体" w:eastAsia="宋体" w:cs="宋体"/>
                <w:b w:val="0"/>
                <w:bCs/>
                <w:i w:val="0"/>
                <w:color w:val="000000"/>
                <w:kern w:val="0"/>
                <w:sz w:val="21"/>
                <w:szCs w:val="21"/>
                <w:highlight w:val="none"/>
                <w:u w:val="none"/>
                <w:lang w:val="en-US" w:eastAsia="zh-CN" w:bidi="ar"/>
              </w:rPr>
              <w:t>【行政法规】《建设工程质量管理条例》（2000年1月30日中华人民共和国国务院令第279号，2019年4月23日第二次修订）第四条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第四十三条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第四十七条</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【行政法规】《建设工程勘察设计管理条例》（2000年9月25日中华人民共和国国务院令第293号，2017年10月7日第二次修订）第五条第一款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第三十一条第二款</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【行政法规】《建设工程安全生产管理条例》（2003年11月24日中华人民共和国国务院令第393号）第三十六条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第四十三条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第四十四条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【地方性法规】《辽宁省水利工程管理条例》（2021年5月27日辽宁省第十三届人民代表大会常务委员会第二十六次会议通过）第十六条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【地方性法规】</w:t>
            </w:r>
            <w:r>
              <w:rPr>
                <w:rFonts w:hint="eastAsia" w:ascii="宋体" w:hAnsi="宋体" w:eastAsia="宋体" w:cs="宋体"/>
                <w:b w:val="0"/>
                <w:bCs/>
                <w:i w:val="0"/>
                <w:color w:val="auto"/>
                <w:kern w:val="0"/>
                <w:sz w:val="21"/>
                <w:szCs w:val="21"/>
                <w:highlight w:val="none"/>
                <w:u w:val="none"/>
                <w:lang w:val="en-US" w:eastAsia="zh-CN" w:bidi="ar"/>
              </w:rPr>
              <w:t>《辽宁省安全生产条例》（2017年1月10日辽宁省第十二届人民代表大会常务委员会第三十一次会议通过，2025</w:t>
            </w:r>
            <w:r>
              <w:rPr>
                <w:rFonts w:hint="eastAsia" w:ascii="宋体" w:hAnsi="宋体" w:cs="宋体"/>
                <w:b w:val="0"/>
                <w:bCs/>
                <w:i w:val="0"/>
                <w:color w:val="auto"/>
                <w:kern w:val="0"/>
                <w:sz w:val="21"/>
                <w:szCs w:val="21"/>
                <w:highlight w:val="none"/>
                <w:u w:val="none"/>
                <w:lang w:val="en-US" w:eastAsia="zh-CN" w:bidi="ar"/>
              </w:rPr>
              <w:t>年5月</w:t>
            </w:r>
            <w:r>
              <w:rPr>
                <w:rFonts w:hint="eastAsia" w:ascii="宋体" w:hAnsi="宋体" w:eastAsia="宋体" w:cs="宋体"/>
                <w:b w:val="0"/>
                <w:bCs/>
                <w:i w:val="0"/>
                <w:color w:val="auto"/>
                <w:kern w:val="0"/>
                <w:sz w:val="21"/>
                <w:szCs w:val="21"/>
                <w:highlight w:val="none"/>
                <w:u w:val="none"/>
                <w:lang w:val="en-US" w:eastAsia="zh-CN" w:bidi="ar"/>
              </w:rPr>
              <w:t>28</w:t>
            </w:r>
            <w:r>
              <w:rPr>
                <w:rFonts w:hint="eastAsia" w:ascii="宋体" w:hAnsi="宋体" w:cs="宋体"/>
                <w:b w:val="0"/>
                <w:bCs/>
                <w:i w:val="0"/>
                <w:color w:val="auto"/>
                <w:kern w:val="0"/>
                <w:sz w:val="21"/>
                <w:szCs w:val="21"/>
                <w:highlight w:val="none"/>
                <w:u w:val="none"/>
                <w:lang w:val="en-US" w:eastAsia="zh-CN" w:bidi="ar"/>
              </w:rPr>
              <w:t>日</w:t>
            </w:r>
            <w:r>
              <w:rPr>
                <w:rFonts w:hint="eastAsia" w:ascii="宋体" w:hAnsi="宋体" w:eastAsia="宋体" w:cs="宋体"/>
                <w:b w:val="0"/>
                <w:bCs/>
                <w:i w:val="0"/>
                <w:color w:val="auto"/>
                <w:kern w:val="0"/>
                <w:sz w:val="21"/>
                <w:szCs w:val="21"/>
                <w:highlight w:val="none"/>
                <w:u w:val="none"/>
                <w:lang w:val="en-US" w:eastAsia="zh-CN" w:bidi="ar"/>
              </w:rPr>
              <w:t>第三次修正）</w:t>
            </w:r>
            <w:r>
              <w:rPr>
                <w:rFonts w:hint="eastAsia" w:ascii="宋体" w:hAnsi="宋体" w:eastAsia="宋体" w:cs="宋体"/>
                <w:b w:val="0"/>
                <w:bCs/>
                <w:i w:val="0"/>
                <w:color w:val="000000"/>
                <w:kern w:val="0"/>
                <w:sz w:val="21"/>
                <w:szCs w:val="21"/>
                <w:highlight w:val="none"/>
                <w:u w:val="none"/>
                <w:lang w:val="en-US" w:eastAsia="zh-CN" w:bidi="ar"/>
              </w:rPr>
              <w:t>第十九条第二款</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kern w:val="0"/>
                <w:sz w:val="21"/>
                <w:szCs w:val="21"/>
                <w:highlight w:val="none"/>
                <w:u w:val="none"/>
                <w:lang w:val="en-US" w:eastAsia="zh-CN" w:bidi="ar"/>
              </w:rPr>
            </w:pPr>
            <w:r>
              <w:rPr>
                <w:rFonts w:hint="eastAsia" w:ascii="宋体" w:hAnsi="宋体" w:eastAsia="宋体" w:cs="宋体"/>
                <w:b w:val="0"/>
                <w:bCs/>
                <w:i w:val="0"/>
                <w:color w:val="000000"/>
                <w:kern w:val="0"/>
                <w:sz w:val="21"/>
                <w:szCs w:val="21"/>
                <w:highlight w:val="none"/>
                <w:u w:val="none"/>
                <w:lang w:val="en-US" w:eastAsia="zh-CN" w:bidi="ar"/>
              </w:rPr>
              <w:t>【部门规章】《水利工程质量管理规定》（2023年1月12日水利部令第52号）第四条第三款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第五十二条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第五十三条第一款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第五十四条</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【部门规章】《水利工程质量事故处理规定》（2024年11月22日水利部令第57号发布）第五条第三款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第十三条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第十四条</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【部门规章】《建筑业企业资质管理规定》（2015年1月22日中华人民共和国住房和城乡建设部令第22号，2018年12月22日第二次修正）第四条第二款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第二十四条</w:t>
            </w:r>
            <w:r>
              <w:rPr>
                <w:rFonts w:hint="eastAsia" w:ascii="宋体" w:hAnsi="宋体" w:cs="宋体"/>
                <w:b w:val="0"/>
                <w:bCs/>
                <w:i w:val="0"/>
                <w:color w:val="000000"/>
                <w:kern w:val="0"/>
                <w:sz w:val="21"/>
                <w:szCs w:val="21"/>
                <w:highlight w:val="none"/>
                <w:u w:val="none"/>
                <w:lang w:val="en-US" w:eastAsia="zh-CN" w:bidi="ar"/>
              </w:rPr>
              <w:t>第一款</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【部门规章】《注册建造师管理规定》（2006年12月28日中华人民共和国建设部令第153号）第四条第二款</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【部门规章】《注册造价工程师管理办法》（2006年12月25日中华人民共和国建设部令第150号，2020年2月19日第二次修正）第二十三条</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【部门规章】《水利工程建设监理规定》（2025年12月30日水利部令第59号）第二十八条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【部门规章】《水利工程质量检测管理规定》（2008年11月3日水利部令第36号，2019年5月10日第二次修正）第二十一条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【部门规章】《水利工程建设安全生产管理规定》（2005年7月22日水利部令第26号，2019年5月10日第三次修正）第二十六条</w:t>
            </w:r>
            <w:r>
              <w:rPr>
                <w:rFonts w:hint="eastAsia" w:ascii="宋体" w:hAnsi="宋体" w:cs="宋体"/>
                <w:b w:val="0"/>
                <w:bCs/>
                <w:i w:val="0"/>
                <w:color w:val="000000"/>
                <w:sz w:val="21"/>
                <w:szCs w:val="21"/>
                <w:highlight w:val="none"/>
                <w:u w:val="none"/>
                <w:lang w:eastAsia="zh-CN"/>
              </w:rPr>
              <w:t>、</w:t>
            </w:r>
            <w:r>
              <w:rPr>
                <w:rFonts w:hint="eastAsia" w:ascii="宋体" w:hAnsi="宋体" w:eastAsia="宋体" w:cs="宋体"/>
                <w:b w:val="0"/>
                <w:bCs/>
                <w:i w:val="0"/>
                <w:color w:val="000000"/>
                <w:kern w:val="0"/>
                <w:sz w:val="21"/>
                <w:szCs w:val="21"/>
                <w:highlight w:val="none"/>
                <w:u w:val="none"/>
                <w:lang w:val="en-US" w:eastAsia="zh-CN" w:bidi="ar"/>
              </w:rPr>
              <w:t>第二十九条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0" w:hRule="atLeast"/>
        </w:trPr>
        <w:tc>
          <w:tcPr>
            <w:tcW w:w="350"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3</w:t>
            </w:r>
          </w:p>
        </w:tc>
        <w:tc>
          <w:tcPr>
            <w:tcW w:w="18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水利工程项目稽察与监督检查</w:t>
            </w:r>
          </w:p>
        </w:tc>
        <w:tc>
          <w:tcPr>
            <w:tcW w:w="1301" w:type="dxa"/>
            <w:vMerge w:val="restart"/>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水利行业</w:t>
            </w:r>
          </w:p>
        </w:tc>
        <w:tc>
          <w:tcPr>
            <w:tcW w:w="1083"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现场检查、非现场检查相结合</w:t>
            </w:r>
          </w:p>
        </w:tc>
        <w:tc>
          <w:tcPr>
            <w:tcW w:w="14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省水利厅，设区的市级、县级水行政主管部门</w:t>
            </w:r>
          </w:p>
        </w:tc>
        <w:tc>
          <w:tcPr>
            <w:tcW w:w="7083" w:type="dxa"/>
            <w:vAlign w:val="top"/>
          </w:tcPr>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w:t>
            </w:r>
            <w:r>
              <w:rPr>
                <w:rStyle w:val="16"/>
                <w:highlight w:val="none"/>
                <w:lang w:val="en-US" w:eastAsia="zh-CN" w:bidi="ar"/>
              </w:rPr>
              <w:t>中华人民共和国水法》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《中华人民共和国安全生产法》</w:t>
            </w:r>
          </w:p>
          <w:p>
            <w:pPr>
              <w:keepNext w:val="0"/>
              <w:keepLines w:val="0"/>
              <w:widowControl/>
              <w:suppressLineNumbers w:val="0"/>
              <w:jc w:val="both"/>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《中华人民共和国招标投标法》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《供水条例》</w:t>
            </w:r>
          </w:p>
          <w:p>
            <w:pPr>
              <w:keepNext w:val="0"/>
              <w:keepLines w:val="0"/>
              <w:widowControl/>
              <w:suppressLineNumbers w:val="0"/>
              <w:jc w:val="both"/>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《政府投资条例》</w:t>
            </w:r>
          </w:p>
          <w:p>
            <w:pPr>
              <w:keepNext w:val="0"/>
              <w:keepLines w:val="0"/>
              <w:widowControl/>
              <w:suppressLineNumbers w:val="0"/>
              <w:jc w:val="both"/>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《中华人民共和国河道管理条例》</w:t>
            </w:r>
          </w:p>
          <w:p>
            <w:pPr>
              <w:keepNext w:val="0"/>
              <w:keepLines w:val="0"/>
              <w:widowControl/>
              <w:suppressLineNumbers w:val="0"/>
              <w:jc w:val="both"/>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《辽宁省水利工程管理条例》</w:t>
            </w:r>
          </w:p>
          <w:p>
            <w:pPr>
              <w:keepNext w:val="0"/>
              <w:keepLines w:val="0"/>
              <w:widowControl/>
              <w:suppressLineNumbers w:val="0"/>
              <w:jc w:val="both"/>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《辽宁省农村供水管理办法》</w:t>
            </w:r>
          </w:p>
          <w:p>
            <w:pPr>
              <w:keepNext w:val="0"/>
              <w:keepLines w:val="0"/>
              <w:widowControl/>
              <w:suppressLineNumbers w:val="0"/>
              <w:jc w:val="both"/>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《水工程建设规划同意书制度管理办法（试行）》</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《水工程建设规划同意书论证报告编制导则》（SL/T 719-2024）</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《水利工程建设安全生产管理规定》（水利部令第26号，2019年水利部令第50号修改）</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《关于加强在建水利工程安全度汛工作的指导意见》（水建设〔2024〕16号）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《水利水电工程施工通用安全技术规程》（SL 398—2007）</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《水利工程建设项目法人管理指导意见》（水建设〔2020〕258号）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《水利水电工程生产安全重大事故隐患判定导则》（SL/T 842—2025）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《水利水电工程施工安全防护设施技术规范》（SL 714—2015）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《水利水电工程施工安全管理导则》SL 721—2015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《水利水电工程危险源辨识与风险评价导则》SL/T 843—2025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《水利水电工程生产安全重大事故隐患判定导则》SL/T 842—2025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《水利工程建设安全生产管理规定》（水利部令第26 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《河道管理范围内建设项目管理的有关规定》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《小型水库安全管理办法》（水安监〔2010〕200号）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《水闸运行管理办法》（水运管〔2023〕135号）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《堤防运行管理办法》（水运管〔2023〕135号）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《小型水库监测技术规范》（SL/T 828-2024）</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《水库工程管理设计规范》（SL 106-2017）</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《堤防工程安全监测技术规程》（SL/T 794-2020）</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《堤防工程养护修理规程》（SL/T 595-2023）</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《水利工程质量管理规定》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《水利工程质量检测管理规定》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《水利工程建设监理规定》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《水利工程建设项目验收管理规定》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《大中型病险水库水闸除险加固项目建设管理办法》(发改农经〔2014〕1895号）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《水闸运行管理办法》（ 水运管〔2023〕135号）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《水利部直属单位水利工程运行管理监督检查办法》（水监督〔2023〕327号）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《水库大坝隐患探测技术规程》（SL/T 827-2024）</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《土石坝安全监测技术规范》（SL/T 551-2024 ）</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《堤防工程管理设计规范》（SL/T 171-2020）</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《堤防隐患探测规程》（SL/T 436-2023）</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《水闸安全评价导则》（SL 214-2015）</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《水闸安全监测技术规范》（SL 768-2018）</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《水闸技术管理规程》（SL/T 75-2024）</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《水工钢闸门和启闭机安全检测技术规程》（SL 101-2014）</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《混凝土坝安全监测技术规范》（SL 601-2013）</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《水闸安全管理应急预案技术导则》（SL/T 830-2024）</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《水利部关于印发水资源调度管理办法的通知》（水调管〔2021〕314号）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《水利部办公厅关于进一步加强流域水资源统一调度管理工作的通知》（办调管〔2022〕193号）</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《中华人民共和国招标投标法实施条例》</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《水利工程建设项目招标投标管理规定》</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《辽宁省招标投标管理办法》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《招标公告和公示信息发布管理办法》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《电子招标投标办法》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《评标专家和评标专家库管理办法》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《公共资源交易平台管理暂行办法》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《工程建设项目招标代理机构管理暂行办法》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《公共资源交易中心招标投标现场管理暂行办法》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《‌关于严格执行招标投标法规制度进一步规范招标投标主体行为的若干意见‌》</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《国务院办公厅关于创新完善体制机制推动招标投标市场规范健康发展的意见》</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《招标人主体责任履行指引》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《辽宁省工程建设项目远程异地评标组织实施操作指引（试行）》</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《辽宁省领导干部违规插手干预招标投标活动登记报告制度（试行）》</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《保障农民工工资支付条例》</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《占用农业灌溉水源、灌排工程设施补偿办法》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《辽宁省占用农业灌溉水源灌排工程设施灌溉耕地管理办法》</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《村镇供水工程技术规范》（GB∕T 43824-2024）</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《小型农村供水工程规范化提升技术规程》（SL T825-2024）</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《农村饮水安全评价准则》（T/CHES18-2018）</w:t>
            </w:r>
          </w:p>
        </w:tc>
        <w:tc>
          <w:tcPr>
            <w:tcW w:w="1534"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每年不超过1次。</w:t>
            </w:r>
          </w:p>
        </w:tc>
        <w:tc>
          <w:tcPr>
            <w:tcW w:w="5845" w:type="dxa"/>
            <w:vAlign w:val="top"/>
          </w:tcPr>
          <w:p>
            <w:pPr>
              <w:keepNext w:val="0"/>
              <w:keepLines w:val="0"/>
              <w:widowControl/>
              <w:suppressLineNumbers w:val="0"/>
              <w:jc w:val="both"/>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【法律】《中华人民共和国水法》（1988年1月21日中华人民共和国主席令第61号，2002年8月29日修订，2016年7月2日第二次修正）第十九条、第三十五条、第四十二条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【法律】《中华人民共和国防洪法》（</w:t>
            </w:r>
            <w:r>
              <w:rPr>
                <w:rStyle w:val="15"/>
                <w:highlight w:val="none"/>
                <w:lang w:val="en-US" w:eastAsia="zh-CN" w:bidi="ar"/>
              </w:rPr>
              <w:t>1997年8月29日中华人民共和国主席令第88号，2016年7月2日第三次修正）第十七条、第三十六条、第四十四条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【法律】《中华人民共和国招标投标法》（</w:t>
            </w:r>
            <w:r>
              <w:rPr>
                <w:rStyle w:val="15"/>
                <w:highlight w:val="none"/>
                <w:lang w:val="en-US" w:eastAsia="zh-CN" w:bidi="ar"/>
              </w:rPr>
              <w:t>1999年8月30日中华人民共和国主席令第21号，2017年12月27日修正）第七条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【行政法规】《政府投资条例》（</w:t>
            </w:r>
            <w:r>
              <w:rPr>
                <w:rStyle w:val="15"/>
                <w:highlight w:val="none"/>
                <w:lang w:val="en-US" w:eastAsia="zh-CN" w:bidi="ar"/>
              </w:rPr>
              <w:t>2019年4月14日中华人民共和国国务院令第712号）第七条第二款、第二十七条第一款</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【行政法规】《供水条例》（</w:t>
            </w:r>
            <w:r>
              <w:rPr>
                <w:rStyle w:val="15"/>
                <w:highlight w:val="none"/>
                <w:lang w:val="en-US" w:eastAsia="zh-CN" w:bidi="ar"/>
              </w:rPr>
              <w:t>2026年2月11日中华人民共和国国务院令第831号）第三十五条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【行政法规】《水库大坝安全管理条例》（</w:t>
            </w:r>
            <w:r>
              <w:rPr>
                <w:rStyle w:val="15"/>
                <w:highlight w:val="none"/>
                <w:lang w:val="en-US" w:eastAsia="zh-CN" w:bidi="ar"/>
              </w:rPr>
              <w:t>1991年3月22日中华人民共和国国务院令第77号，2026年1月30日第三次修正）第三条、第十六条、第十七条、第十九条、第二十二条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【行政法规】《中华人民共和国招标投标法实施条例》（</w:t>
            </w:r>
            <w:r>
              <w:rPr>
                <w:rStyle w:val="15"/>
                <w:highlight w:val="none"/>
                <w:lang w:val="en-US" w:eastAsia="zh-CN" w:bidi="ar"/>
              </w:rPr>
              <w:t>2011年12月20日中华人民共和国国务院令第613号，2019年3月2日第三次修订）第四条第二款</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【行政法规】《保障农民工工资支付条例》（</w:t>
            </w:r>
            <w:r>
              <w:rPr>
                <w:rStyle w:val="15"/>
                <w:highlight w:val="none"/>
                <w:lang w:val="en-US" w:eastAsia="zh-CN" w:bidi="ar"/>
              </w:rPr>
              <w:t>2019年12月30日中华人民共和国国务院令第724号）第三十九条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【行政法规】《农田水利条例》（</w:t>
            </w:r>
            <w:r>
              <w:rPr>
                <w:rStyle w:val="15"/>
                <w:highlight w:val="none"/>
                <w:lang w:val="en-US" w:eastAsia="zh-CN" w:bidi="ar"/>
              </w:rPr>
              <w:t>2016年5月17日中华人民共和国国务院令第669号）第四条第二款、第二十四条、第二十六条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【行政法规】《供水条例》（</w:t>
            </w:r>
            <w:r>
              <w:rPr>
                <w:rStyle w:val="15"/>
                <w:highlight w:val="none"/>
                <w:lang w:val="en-US" w:eastAsia="zh-CN" w:bidi="ar"/>
              </w:rPr>
              <w:t>2026年2月11日中华人民共和国国务院令第831号）第三十五条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【地方性法规】《辽宁省水利工程管理条例》（</w:t>
            </w:r>
            <w:r>
              <w:rPr>
                <w:rStyle w:val="15"/>
                <w:highlight w:val="none"/>
                <w:lang w:val="en-US" w:eastAsia="zh-CN" w:bidi="ar"/>
              </w:rPr>
              <w:t>2021年5月27日辽宁省第十三届人民代表大会常务委员会第二十六次会议通过）第十六条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【地方性法规】《辽宁省东水济辽工程管理条例》（</w:t>
            </w:r>
            <w:r>
              <w:rPr>
                <w:rStyle w:val="15"/>
                <w:highlight w:val="none"/>
                <w:lang w:val="en-US" w:eastAsia="zh-CN" w:bidi="ar"/>
              </w:rPr>
              <w:t>2017年9月28日辽宁省第十二届人民代表大会常务委员会第三十六次会议通过，2020年3月30日修正）第六条第一款、第二款</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【政府规章】《辽宁省招标投标管理办法》（</w:t>
            </w:r>
            <w:r>
              <w:rPr>
                <w:rStyle w:val="15"/>
                <w:highlight w:val="none"/>
                <w:lang w:val="en-US" w:eastAsia="zh-CN" w:bidi="ar"/>
              </w:rPr>
              <w:t>2003年7月19日辽宁省人民政府令第160号）第四条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【政府规章】《辽宁省农村供水管理办法》（</w:t>
            </w:r>
            <w:r>
              <w:rPr>
                <w:rStyle w:val="15"/>
                <w:highlight w:val="none"/>
                <w:lang w:val="en-US" w:eastAsia="zh-CN" w:bidi="ar"/>
              </w:rPr>
              <w:t>2023年1月14日辽宁省人民政府令第345号）第五条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【部门规章】《河道管理范围内建设项目管理的有关规定》（</w:t>
            </w:r>
            <w:r>
              <w:rPr>
                <w:rStyle w:val="15"/>
                <w:highlight w:val="none"/>
                <w:lang w:val="en-US" w:eastAsia="zh-CN" w:bidi="ar"/>
              </w:rPr>
              <w:t>1992年4月3日水利部、国家计委水政〔1992〕7号，2017年12月22日修正）第十一条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【部门规章】《水工程建设规划同意书制度管理办法（试行）》（</w:t>
            </w:r>
            <w:r>
              <w:rPr>
                <w:rStyle w:val="15"/>
                <w:highlight w:val="none"/>
                <w:lang w:val="en-US" w:eastAsia="zh-CN" w:bidi="ar"/>
              </w:rPr>
              <w:t>2007年11月29日水利部令第31号，2017年12月22日第二次修正）第十四条</w:t>
            </w:r>
          </w:p>
          <w:p>
            <w:pPr>
              <w:keepNext w:val="0"/>
              <w:keepLines w:val="0"/>
              <w:widowControl/>
              <w:suppressLineNumbers w:val="0"/>
              <w:jc w:val="both"/>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【部门规章】《水利工程建设项目招标投标管理规定》（</w:t>
            </w:r>
            <w:r>
              <w:rPr>
                <w:rStyle w:val="15"/>
                <w:highlight w:val="none"/>
                <w:lang w:val="en-US" w:eastAsia="zh-CN" w:bidi="ar"/>
              </w:rPr>
              <w:t>2001年10月29日水利部令第14号）第八条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【部门规章】《占用农业灌溉水源、灌排工程设施补偿办法》（</w:t>
            </w:r>
            <w:r>
              <w:rPr>
                <w:rStyle w:val="15"/>
                <w:highlight w:val="none"/>
                <w:lang w:val="en-US" w:eastAsia="zh-CN" w:bidi="ar"/>
              </w:rPr>
              <w:t>1995年11月13日水利部、财政部、国家计委水政资〔1995〕457号，2014年8月19日修正）第二条、第四条第二款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0" w:hRule="atLeast"/>
        </w:trPr>
        <w:tc>
          <w:tcPr>
            <w:tcW w:w="350"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4</w:t>
            </w:r>
          </w:p>
        </w:tc>
        <w:tc>
          <w:tcPr>
            <w:tcW w:w="18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防汛抗旱监督检查</w:t>
            </w:r>
          </w:p>
        </w:tc>
        <w:tc>
          <w:tcPr>
            <w:tcW w:w="1301"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水利行业</w:t>
            </w:r>
          </w:p>
        </w:tc>
        <w:tc>
          <w:tcPr>
            <w:tcW w:w="1083"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现场检查、非现场检查相结合</w:t>
            </w:r>
          </w:p>
        </w:tc>
        <w:tc>
          <w:tcPr>
            <w:tcW w:w="14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省水利厅，设区的市级、县级水行政主管部门</w:t>
            </w:r>
          </w:p>
        </w:tc>
        <w:tc>
          <w:tcPr>
            <w:tcW w:w="7083"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《辽宁省河道管理条例》</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《辽宁省实施&lt;中华人民共和国防洪法&gt;办法》</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《河道管理范围内建设项目管理的有关规定》</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《水利部河湖管理司关于加强在建涉河建设项目事中事后监管有关工作的通知》（河湖函〔2024〕2号）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《洪水影响评价技术导则》（SL/T 808-2025）</w:t>
            </w:r>
          </w:p>
          <w:p>
            <w:pPr>
              <w:keepNext w:val="0"/>
              <w:keepLines w:val="0"/>
              <w:pageBreakBefore w:val="0"/>
              <w:widowControl w:val="0"/>
              <w:kinsoku/>
              <w:wordWrap/>
              <w:overflowPunct/>
              <w:topLinePunct w:val="0"/>
              <w:autoSpaceDE/>
              <w:autoSpaceDN/>
              <w:bidi w:val="0"/>
              <w:spacing w:before="0" w:beforeLines="0" w:after="0" w:afterLines="0" w:line="0" w:lineRule="atLeast"/>
              <w:ind w:left="0" w:leftChars="0" w:right="0" w:rightChars="0" w:firstLine="0" w:firstLineChars="0"/>
              <w:jc w:val="both"/>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《河道采砂规划编制与实施监督管理技术规范》（SL/T 423-2021）</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《辽宁省河道采砂管理实施细则（修订）》（辽水河湖〔2025〕412号）</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《水文设施工程施工及验收规程》（SL/T 649-2025）</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《水文监测环境和设施保护办法》</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《水文站网管理办法》</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《水文监测资料汇交管理办法》</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《水利部办公厅关于做好取消水文、水资源调查评价机构资质认定行政许可事项相关工作的通知》（办水文〔2015〕105号）</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《水文站网规划技术导则》（SL/T 34-2023）</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《水文基础设施建设及技术装备标准》（SL /T 276-2022）</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《降水量观测规范》（SL 21-2015）</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《河流流量测验规范》（GB 50179-2015）</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《水位观测标准》（GB/T 50138-2010）</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《地下水监测工程技术标准》（GB/T 51040-2023）</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t>《水利部重大水旱灾害事件调度指挥机制》（办防〔2024〕222号）</w:t>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t>《加快构建水旱灾害防御工作体系的实施意见》（办防〔2024〕221号）</w:t>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t>《水工程防洪抗旱调度运用监督检查办法（试行）》（水防〔2019〕207号）</w:t>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t>《山洪灾害监测预警监督检查办法（试行）》（水防〔2020〕114号）</w:t>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t>《水利部直属单位水利工程运行管理监督检查办法》（水监督〔2023〕327号）</w:t>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t>《关于加强在建水利工程安全度汛工作的指导意见》（水建设〔2024〕16号）</w:t>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strike w:val="0"/>
                <w:dstrike w:val="0"/>
                <w:color w:val="auto"/>
                <w:kern w:val="0"/>
                <w:sz w:val="21"/>
                <w:szCs w:val="21"/>
                <w:highlight w:val="none"/>
                <w:u w:val="none"/>
                <w:lang w:val="en-US" w:eastAsia="zh-CN" w:bidi="ar"/>
              </w:rPr>
              <w:t>《洪水影响评价技术导则》（SL/T808-2025）</w:t>
            </w:r>
          </w:p>
        </w:tc>
        <w:tc>
          <w:tcPr>
            <w:tcW w:w="1534"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每年不超过1次。</w:t>
            </w: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i w:val="0"/>
                <w:color w:val="auto"/>
                <w:kern w:val="0"/>
                <w:sz w:val="21"/>
                <w:szCs w:val="21"/>
                <w:highlight w:val="none"/>
                <w:u w:val="none"/>
                <w:lang w:val="en-US" w:eastAsia="zh-CN" w:bidi="ar"/>
              </w:rPr>
              <w:t>对防汛抗旱工作的行政检查不设上限。</w:t>
            </w:r>
          </w:p>
        </w:tc>
        <w:tc>
          <w:tcPr>
            <w:tcW w:w="5845"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kern w:val="0"/>
                <w:sz w:val="21"/>
                <w:szCs w:val="21"/>
                <w:highlight w:val="none"/>
                <w:u w:val="none"/>
                <w:lang w:val="en-US" w:eastAsia="zh-CN" w:bidi="ar"/>
              </w:rPr>
            </w:pPr>
            <w:r>
              <w:rPr>
                <w:rFonts w:hint="eastAsia" w:ascii="宋体" w:hAnsi="宋体" w:eastAsia="宋体" w:cs="宋体"/>
                <w:b w:val="0"/>
                <w:bCs/>
                <w:i w:val="0"/>
                <w:color w:val="000000"/>
                <w:kern w:val="0"/>
                <w:sz w:val="21"/>
                <w:szCs w:val="21"/>
                <w:highlight w:val="none"/>
                <w:u w:val="none"/>
                <w:lang w:val="en-US" w:eastAsia="zh-CN" w:bidi="ar"/>
              </w:rPr>
              <w:t>【法律】《中华人民共和国水法》（1988年1月21日中华人民共和国主席令第61号，2002年8月29日修订，2016年7月2日第二次修正）第三十八条第一款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第三十九条第一款</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【法律】《中华人民共和国防洪法》（1997年8月29日中华人民共和国主席令第88号，2016年7月2日第三次修正）第八条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第二十七条第一款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第二十八条第一款</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kern w:val="0"/>
                <w:sz w:val="21"/>
                <w:szCs w:val="21"/>
                <w:highlight w:val="none"/>
                <w:u w:val="none"/>
                <w:lang w:val="en-US" w:eastAsia="zh-CN" w:bidi="ar"/>
              </w:rPr>
            </w:pPr>
            <w:r>
              <w:rPr>
                <w:rFonts w:hint="eastAsia" w:ascii="宋体" w:hAnsi="宋体" w:eastAsia="宋体" w:cs="宋体"/>
                <w:b w:val="0"/>
                <w:bCs/>
                <w:i w:val="0"/>
                <w:color w:val="000000"/>
                <w:kern w:val="0"/>
                <w:sz w:val="21"/>
                <w:szCs w:val="21"/>
                <w:highlight w:val="none"/>
                <w:u w:val="none"/>
                <w:lang w:val="en-US" w:eastAsia="zh-CN" w:bidi="ar"/>
              </w:rPr>
              <w:t>【行政法规】《中华人民共和国河道管理条例》（1988年6月10日中华人民共和国国务院令第3号</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2026年1月30日第五次修正）第十一条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第十四条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auto"/>
                <w:kern w:val="0"/>
                <w:sz w:val="21"/>
                <w:szCs w:val="21"/>
                <w:highlight w:val="none"/>
                <w:u w:val="none"/>
                <w:lang w:val="en-US" w:eastAsia="zh-CN" w:bidi="ar"/>
              </w:rPr>
              <w:t>第十五条</w:t>
            </w:r>
            <w:r>
              <w:rPr>
                <w:rFonts w:hint="eastAsia" w:ascii="宋体" w:hAnsi="宋体" w:cs="宋体"/>
                <w:b w:val="0"/>
                <w:bCs/>
                <w:i w:val="0"/>
                <w:color w:val="auto"/>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第二十五条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【行政法规】《中华人民共和国水文条例》（2007年4月25日中华人民共和国国务院令第496号，2017年3月1日第三次修订）第十四条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第十五条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第三十三条</w:t>
            </w:r>
          </w:p>
          <w:p>
            <w:pPr>
              <w:rPr>
                <w:rFonts w:hint="eastAsia" w:ascii="宋体" w:hAnsi="宋体" w:eastAsia="宋体" w:cs="宋体"/>
                <w:b w:val="0"/>
                <w:bCs/>
                <w:i w:val="0"/>
                <w:color w:val="000000"/>
                <w:kern w:val="0"/>
                <w:sz w:val="21"/>
                <w:szCs w:val="21"/>
                <w:highlight w:val="none"/>
                <w:u w:val="none"/>
                <w:lang w:val="en-US" w:eastAsia="zh-CN" w:bidi="ar"/>
              </w:rPr>
            </w:pPr>
            <w:r>
              <w:rPr>
                <w:rFonts w:hint="eastAsia" w:ascii="宋体" w:hAnsi="宋体" w:eastAsia="宋体" w:cs="宋体"/>
                <w:b w:val="0"/>
                <w:bCs/>
                <w:i w:val="0"/>
                <w:color w:val="000000"/>
                <w:kern w:val="0"/>
                <w:sz w:val="21"/>
                <w:szCs w:val="21"/>
                <w:highlight w:val="none"/>
                <w:u w:val="none"/>
                <w:lang w:val="en-US" w:eastAsia="zh-CN" w:bidi="ar"/>
              </w:rPr>
              <w:t>【行政法规】《中华人民共和国防汛条例》（1991年7月2日中华人民共和国国务院令第86号，2011年1月8日第二次修订）第十五条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第十七条第二款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第十八条</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【行政法规】《中华人民共和国抗旱条例》（2009年2月26日中华人民共和国国务院令第552号公布自公布之日起施行）第八条第二款</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kern w:val="0"/>
                <w:sz w:val="21"/>
                <w:szCs w:val="21"/>
                <w:highlight w:val="none"/>
                <w:u w:val="none"/>
                <w:lang w:val="en-US" w:eastAsia="zh-CN" w:bidi="ar"/>
              </w:rPr>
            </w:pPr>
            <w:r>
              <w:rPr>
                <w:rFonts w:hint="eastAsia" w:ascii="宋体" w:hAnsi="宋体" w:eastAsia="宋体" w:cs="宋体"/>
                <w:b w:val="0"/>
                <w:bCs/>
                <w:i w:val="0"/>
                <w:color w:val="000000"/>
                <w:kern w:val="0"/>
                <w:sz w:val="21"/>
                <w:szCs w:val="21"/>
                <w:highlight w:val="none"/>
                <w:u w:val="none"/>
                <w:lang w:val="en-US" w:eastAsia="zh-CN" w:bidi="ar"/>
              </w:rPr>
              <w:t>【地方性法规】《辽宁省水利工程管理条例》（2021年5月27日辽宁省第十三届人民代表大会常务委员会第二十六次会议通过）第二十五条</w:t>
            </w:r>
            <w:r>
              <w:rPr>
                <w:rFonts w:hint="eastAsia" w:ascii="宋体" w:hAnsi="宋体" w:eastAsia="宋体" w:cs="宋体"/>
                <w:b w:val="0"/>
                <w:bCs/>
                <w:i w:val="0"/>
                <w:color w:val="000000"/>
                <w:kern w:val="0"/>
                <w:sz w:val="21"/>
                <w:szCs w:val="21"/>
                <w:highlight w:val="none"/>
                <w:u w:val="none"/>
                <w:lang w:val="en-US" w:eastAsia="zh-CN" w:bidi="ar"/>
              </w:rPr>
              <w:br w:type="textWrapping"/>
            </w:r>
            <w:r>
              <w:rPr>
                <w:rFonts w:hint="eastAsia" w:ascii="宋体" w:hAnsi="宋体" w:eastAsia="宋体" w:cs="宋体"/>
                <w:b w:val="0"/>
                <w:bCs/>
                <w:i w:val="0"/>
                <w:color w:val="000000"/>
                <w:kern w:val="0"/>
                <w:sz w:val="21"/>
                <w:szCs w:val="21"/>
                <w:highlight w:val="none"/>
                <w:u w:val="none"/>
                <w:lang w:val="en-US" w:eastAsia="zh-CN" w:bidi="ar"/>
              </w:rPr>
              <w:t>【地方性法规】《辽宁省河道管理条例》（2012年11月29日辽宁省第十一届人民代表大会常务委员会第三十三次会议通过，2020年3月30日第三次修正，2025年7月25日辽宁省第十四届人民代表大会常务委员会第十七次会议修订）第三十三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【地方性法规】《辽宁省实施&lt;中华人民共和国防洪法&gt;办法》（1999年1月28日辽宁省第九届人民代表大会常务委员会第七次会议通过，2017年7月27日第七次修正）第二十六条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kern w:val="0"/>
                <w:sz w:val="21"/>
                <w:szCs w:val="21"/>
                <w:highlight w:val="none"/>
                <w:u w:val="none"/>
                <w:lang w:val="en-US" w:eastAsia="zh-CN" w:bidi="ar"/>
              </w:rPr>
            </w:pPr>
            <w:r>
              <w:rPr>
                <w:rFonts w:hint="eastAsia" w:ascii="宋体" w:hAnsi="宋体" w:eastAsia="宋体" w:cs="宋体"/>
                <w:b w:val="0"/>
                <w:bCs/>
                <w:i w:val="0"/>
                <w:color w:val="000000"/>
                <w:kern w:val="0"/>
                <w:sz w:val="21"/>
                <w:szCs w:val="21"/>
                <w:highlight w:val="none"/>
                <w:u w:val="none"/>
                <w:lang w:val="en-US" w:eastAsia="zh-CN" w:bidi="ar"/>
              </w:rPr>
              <w:t>【部门规章】《河道管理范围内建设项目管理的有关规定》（1992年4月3日水利部、国家计委水政〔1992〕7号，2017年12月22日修正）第十三条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【部门规章】《水文监测环境和设施保护办法》（2011年2月18日水利部令第43号，2015年12月16日修正）第二条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第三条第三款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第九条第一款</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第十九条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【部门规章】《水文监测资料汇交管理办法》（2020年10月22日水利部令第51号）第十四条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0" w:hRule="atLeast"/>
        </w:trPr>
        <w:tc>
          <w:tcPr>
            <w:tcW w:w="350"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5</w:t>
            </w:r>
          </w:p>
        </w:tc>
        <w:tc>
          <w:tcPr>
            <w:tcW w:w="18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水利水电工程征地补偿和移民安置、移民后期扶持稽察与监督检查</w:t>
            </w:r>
          </w:p>
        </w:tc>
        <w:tc>
          <w:tcPr>
            <w:tcW w:w="1301"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水利行业</w:t>
            </w:r>
          </w:p>
        </w:tc>
        <w:tc>
          <w:tcPr>
            <w:tcW w:w="1083"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现场检查、非现场检查相结合</w:t>
            </w:r>
          </w:p>
        </w:tc>
        <w:tc>
          <w:tcPr>
            <w:tcW w:w="14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省水利厅，设区的市级、县级</w:t>
            </w:r>
            <w:bookmarkStart w:id="0" w:name="_GoBack"/>
            <w:bookmarkEnd w:id="0"/>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水行政主管部门</w:t>
            </w:r>
          </w:p>
        </w:tc>
        <w:tc>
          <w:tcPr>
            <w:tcW w:w="7083" w:type="dxa"/>
            <w:vAlign w:val="top"/>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《大中型水利水电工程建设征地补偿和移民安置条例》（国务院令第679号）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《水利水电工程移民档案管理办法》（档发〔2012〕4号）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水利部关于印发《大中型水利工程移民安置监督评估管理规定》的通知（水移民〔2025〕184号）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水利部关于印发《大中型水利水电工程移民安置前期工作管理暂行办法》的通知（水规计〔2010〕33号）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水利部关于印发《大中型水利水电工程移民安置验收管理办法》的通知（水移民〔2022〕414号）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《水利水电工程建设征地移民安置规划大纲编制导则》（SL/T 441-2024）</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《水利水电工程建设征地移民实物调查规范》（SL/T442-2024）</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《水利水电工程移民安置验收规程》（SL/T 682-2025）</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《水利水电移民安置监督评估规程》（SL/T 716-2025）</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《国务院关于完善大中型水库移民后期扶持政策的意见》（国发〔2006〕17号）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《国务院办公厅关于进一步完善大中型水库移民后期扶持政策的通知》（国办发〔2026〕20号）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《水利部办公厅关于进一步加强大中型水库移民后期扶持项目管理和资产监管的通知》（办移民〔2023〕184号）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水利部关于印发《新增大中型水库农村移民后期扶持人口核定登记办法》的通知（水移民〔2022〕14号）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《辽宁省人民政府关于完善大中型水库移民后期扶持政策的实施意见》（辽政发〔2006〕44号）</w:t>
            </w:r>
          </w:p>
          <w:p>
            <w:pPr>
              <w:keepNext w:val="0"/>
              <w:keepLines w:val="0"/>
              <w:widowControl/>
              <w:suppressLineNumbers w:val="0"/>
              <w:jc w:val="both"/>
              <w:textAlignment w:val="center"/>
              <w:rPr>
                <w:rFonts w:hint="eastAsia" w:ascii="宋体" w:hAnsi="宋体" w:eastAsia="宋体" w:cs="宋体"/>
                <w:b w:val="0"/>
                <w:bCs/>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辽宁省水利厅 辽宁省财政厅 辽宁省农村信用社联合社关于印发《辽宁省大中型水库移民后期扶持直补资金发放细则》的通知（辽水合〔2020〕37号）</w:t>
            </w:r>
          </w:p>
          <w:p>
            <w:pPr>
              <w:keepNext w:val="0"/>
              <w:keepLines w:val="0"/>
              <w:pageBreakBefore w:val="0"/>
              <w:widowControl w:val="0"/>
              <w:kinsoku/>
              <w:wordWrap/>
              <w:overflowPunct/>
              <w:topLinePunct w:val="0"/>
              <w:autoSpaceDE/>
              <w:autoSpaceDN/>
              <w:bidi w:val="0"/>
              <w:spacing w:before="0" w:beforeLines="0" w:after="0" w:afterLines="0" w:line="0" w:lineRule="atLeast"/>
              <w:ind w:left="0" w:leftChars="0" w:right="0" w:rightChars="0" w:firstLine="0" w:firstLineChars="0"/>
              <w:jc w:val="both"/>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《辽宁省水利厅关于印发辽宁省水库移民后期扶持项目管理办法的通知》（辽水移〔2023〕188号）</w:t>
            </w:r>
          </w:p>
        </w:tc>
        <w:tc>
          <w:tcPr>
            <w:tcW w:w="1534"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每年不超过1次。</w:t>
            </w:r>
          </w:p>
        </w:tc>
        <w:tc>
          <w:tcPr>
            <w:tcW w:w="5845"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【行政法规】《大中型水利水电工程建设征地补偿和移民安置条例》（2006年7月7日中华人民共和国国务院令第471号，2017年4月14日第三次修订）第十五条、第四十九条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0" w:hRule="atLeast"/>
        </w:trPr>
        <w:tc>
          <w:tcPr>
            <w:tcW w:w="350"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6</w:t>
            </w:r>
          </w:p>
        </w:tc>
        <w:tc>
          <w:tcPr>
            <w:tcW w:w="18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水土保持监督检查</w:t>
            </w:r>
          </w:p>
        </w:tc>
        <w:tc>
          <w:tcPr>
            <w:tcW w:w="1301"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center"/>
              <w:textAlignment w:val="center"/>
              <w:outlineLvl w:val="9"/>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水利行业</w:t>
            </w:r>
          </w:p>
        </w:tc>
        <w:tc>
          <w:tcPr>
            <w:tcW w:w="1083"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现场检查、非现场检查相结合</w:t>
            </w:r>
          </w:p>
        </w:tc>
        <w:tc>
          <w:tcPr>
            <w:tcW w:w="1467"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省水利厅，设区的市级、县级水行政主管部门</w:t>
            </w:r>
          </w:p>
        </w:tc>
        <w:tc>
          <w:tcPr>
            <w:tcW w:w="7083" w:type="dxa"/>
            <w:vAlign w:val="top"/>
          </w:tcPr>
          <w:p>
            <w:pPr>
              <w:keepNext w:val="0"/>
              <w:keepLines w:val="0"/>
              <w:widowControl/>
              <w:suppressLineNumbers w:val="0"/>
              <w:jc w:val="both"/>
              <w:textAlignment w:val="top"/>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《生产建设项目水土保持方案管理办法》</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《水利部办公厅关于印发生产建设项目水土保持方案审查要点的通知》（办水保〔2023〕177号）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《水利部办公厅关于印发生产建设项目水土保持方案编制模板的通知》（办水保函〔2026〕232号）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《水利部关于实施水土保持信用评价的意见》（水保〔2023〕359号）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《水利部关于进一步深化“放管服”改革全面加强水土保持监管的意见》（水保〔2019〕160号）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《水利部办公厅关于印发生产建设项目水土保持监督管理办法的通知》（办水保〔2019〕172号）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《水利部办公厅关于实施生产建设项目水土保持信用监管“两单”制度的通知》（办水保〔2020〕157号）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《水利部办公厅关于印发生产建设项目水土保持问题分类和责任追究标准的通知》（办水保函〔2020〕564号）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辽宁省水利厅关于印发《辽宁省生产建设项目水土保持方案管理办法》的通知（辽水保〔2023〕61号）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辽宁省水利厅关于印发辽宁省生产建设项目水土保持方案管理办法修订意见的通知（辽水保〔2024〕231号）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辽宁省水利厅关于进一步优化开发区生产建设项目水土保持管理工作的通知（辽水保函〔2022〕29号）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辽宁省水利厅关于全面开展水土保持方案质量评价工作的通知（辽水保函〔2023〕244号）</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《生产建设项目水土流失防治标准》（GB/T 50434-2018）</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《生产建设项目水土保持技术标准》（GB 50433-2018）</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《生产建设项目水土保持监测与评价标准》（GB/T 51240-2018）</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《水土保持工程设计规范》（GB 51018-2014）</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《水土保持工程调查与勘测标准》（GB/T 51297-2018）</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《水土保持工程质量验收与评价规程》（SL/T 336-2025）</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《水土保持监理规范》（SL/T 523-2024）</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《黑土区水土流失综合防治技术规范》（SL/T 446-2024）</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《水土保持综合治理验收规范》（GB/T 15773-2008）</w:t>
            </w:r>
          </w:p>
          <w:p>
            <w:pPr>
              <w:keepNext w:val="0"/>
              <w:keepLines w:val="0"/>
              <w:widowControl/>
              <w:suppressLineNumbers w:val="0"/>
              <w:jc w:val="both"/>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《水利部关于加强事中事后监管规范生产建设项目水土保持设施自主验收的通知》（水保〔2017〕365号）</w:t>
            </w:r>
          </w:p>
          <w:p>
            <w:pPr>
              <w:keepNext w:val="0"/>
              <w:keepLines w:val="0"/>
              <w:pageBreakBefore w:val="0"/>
              <w:widowControl w:val="0"/>
              <w:kinsoku/>
              <w:wordWrap/>
              <w:overflowPunct/>
              <w:topLinePunct w:val="0"/>
              <w:autoSpaceDE/>
              <w:autoSpaceDN/>
              <w:bidi w:val="0"/>
              <w:spacing w:line="0" w:lineRule="atLeast"/>
              <w:ind w:left="0" w:leftChars="0" w:right="0" w:rightChars="0" w:firstLine="0" w:firstLineChars="0"/>
              <w:jc w:val="both"/>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《水利部办公厅关于印发生产建设项目水土保持设施自主验收规程（试行）的通知》（办水保〔2018〕133号）</w:t>
            </w:r>
          </w:p>
        </w:tc>
        <w:tc>
          <w:tcPr>
            <w:tcW w:w="1534"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i w:val="0"/>
                <w:color w:val="000000"/>
                <w:kern w:val="0"/>
                <w:sz w:val="21"/>
                <w:szCs w:val="21"/>
                <w:highlight w:val="none"/>
                <w:u w:val="none"/>
                <w:lang w:val="en-US" w:eastAsia="zh-CN" w:bidi="ar"/>
              </w:rPr>
              <w:t>每年不超过1次。</w:t>
            </w:r>
          </w:p>
        </w:tc>
        <w:tc>
          <w:tcPr>
            <w:tcW w:w="5845" w:type="dxa"/>
            <w:vAlign w:val="top"/>
          </w:tcPr>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【法律】《中华人民共和国水土保持法》（1991年6月29日中华人民共和国主席令第49号，2010年12月25日修订）第二十九条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第四十三条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宋体" w:hAnsi="宋体" w:eastAsia="宋体" w:cs="宋体"/>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【地方性法规】《辽宁省水土保持条例》（2014年9月26日辽宁省第十二届人民代表大会常务委员会第十二次会议通过，2020年3月30日第二次修正）第三十六条</w:t>
            </w:r>
          </w:p>
          <w:p>
            <w:pPr>
              <w:keepNext w:val="0"/>
              <w:keepLines w:val="0"/>
              <w:pageBreakBefore w:val="0"/>
              <w:widowControl w:val="0"/>
              <w:suppressLineNumbers w:val="0"/>
              <w:kinsoku/>
              <w:wordWrap/>
              <w:overflowPunct/>
              <w:topLinePunct w:val="0"/>
              <w:autoSpaceDE/>
              <w:autoSpaceDN/>
              <w:bidi w:val="0"/>
              <w:spacing w:line="0" w:lineRule="atLeast"/>
              <w:ind w:left="0" w:leftChars="0" w:right="0" w:rightChars="0" w:firstLine="0" w:firstLineChars="0"/>
              <w:jc w:val="both"/>
              <w:textAlignment w:val="center"/>
              <w:outlineLvl w:val="9"/>
              <w:rPr>
                <w:rFonts w:hint="eastAsia" w:asciiTheme="minorEastAsia" w:hAnsiTheme="minorEastAsia" w:eastAsiaTheme="minorEastAsia" w:cstheme="minorEastAsia"/>
                <w:b w:val="0"/>
                <w:bCs/>
                <w:i w:val="0"/>
                <w:color w:val="000000"/>
                <w:sz w:val="21"/>
                <w:szCs w:val="21"/>
                <w:highlight w:val="none"/>
                <w:u w:val="none"/>
              </w:rPr>
            </w:pPr>
            <w:r>
              <w:rPr>
                <w:rFonts w:hint="eastAsia" w:ascii="宋体" w:hAnsi="宋体" w:eastAsia="宋体" w:cs="宋体"/>
                <w:b w:val="0"/>
                <w:bCs/>
                <w:i w:val="0"/>
                <w:color w:val="000000"/>
                <w:kern w:val="0"/>
                <w:sz w:val="21"/>
                <w:szCs w:val="21"/>
                <w:highlight w:val="none"/>
                <w:u w:val="none"/>
                <w:lang w:val="en-US" w:eastAsia="zh-CN" w:bidi="ar"/>
              </w:rPr>
              <w:t>【部门规章】《生产建设项目水土保持方案管理办法》（2023年1月17日水利部令第53号）第二十二条</w:t>
            </w:r>
            <w:r>
              <w:rPr>
                <w:rFonts w:hint="eastAsia" w:ascii="宋体" w:hAnsi="宋体" w:cs="宋体"/>
                <w:b w:val="0"/>
                <w:bCs/>
                <w:i w:val="0"/>
                <w:color w:val="000000"/>
                <w:kern w:val="0"/>
                <w:sz w:val="21"/>
                <w:szCs w:val="21"/>
                <w:highlight w:val="none"/>
                <w:u w:val="none"/>
                <w:lang w:val="en-US" w:eastAsia="zh-CN" w:bidi="ar"/>
              </w:rPr>
              <w:t>、</w:t>
            </w:r>
            <w:r>
              <w:rPr>
                <w:rFonts w:hint="eastAsia" w:ascii="宋体" w:hAnsi="宋体" w:eastAsia="宋体" w:cs="宋体"/>
                <w:b w:val="0"/>
                <w:bCs/>
                <w:i w:val="0"/>
                <w:color w:val="000000"/>
                <w:kern w:val="0"/>
                <w:sz w:val="21"/>
                <w:szCs w:val="21"/>
                <w:highlight w:val="none"/>
                <w:u w:val="none"/>
                <w:lang w:val="en-US" w:eastAsia="zh-CN" w:bidi="ar"/>
              </w:rPr>
              <w:t>第二十六条</w:t>
            </w:r>
          </w:p>
        </w:tc>
      </w:tr>
    </w:tbl>
    <w:p/>
    <w:sectPr>
      <w:headerReference r:id="rId3" w:type="default"/>
      <w:footerReference r:id="rId4" w:type="default"/>
      <w:pgSz w:w="23760" w:h="16781" w:orient="landscape"/>
      <w:pgMar w:top="1803" w:right="1440" w:bottom="1803" w:left="1440" w:header="851" w:footer="992" w:gutter="0"/>
      <w:pgBorders>
        <w:top w:val="none" w:color="auto" w:sz="0" w:space="0"/>
        <w:left w:val="none" w:color="auto" w:sz="0" w:space="0"/>
        <w:bottom w:val="none" w:color="auto" w:sz="0" w:space="0"/>
        <w:right w:val="none" w:color="auto" w:sz="0" w:space="0"/>
      </w:pgBorders>
      <w:pgNumType w:fmt="decimal"/>
      <w:cols w:space="72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KSOFBE25B2F9">
    <w:altName w:val="宋体"/>
    <w:panose1 w:val="02010601030101010101"/>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altName w:val="宋体"/>
    <w:panose1 w:val="02010609060101010101"/>
    <w:charset w:val="86"/>
    <w:family w:val="auto"/>
    <w:pitch w:val="default"/>
    <w:sig w:usb0="00000000" w:usb1="00000000" w:usb2="00000000" w:usb3="00000000" w:csb0="00040001"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Microsoft Yi Baiti">
    <w:panose1 w:val="03000500000000000000"/>
    <w:charset w:val="00"/>
    <w:family w:val="script"/>
    <w:pitch w:val="default"/>
    <w:sig w:usb0="80000003" w:usb1="00010402" w:usb2="00080002" w:usb3="00000000" w:csb0="00000001" w:csb1="00000000"/>
  </w:font>
  <w:font w:name="MathJax_Vector">
    <w:altName w:val="Trebuchet MS"/>
    <w:panose1 w:val="02000603000000000000"/>
    <w:charset w:val="00"/>
    <w:family w:val="auto"/>
    <w:pitch w:val="default"/>
    <w:sig w:usb0="00000000" w:usb1="00000000" w:usb2="00000000" w:usb3="00000000" w:csb0="00000001" w:csb1="00000000"/>
  </w:font>
  <w:font w:name="DejaVu Sans">
    <w:altName w:val="Segoe Print"/>
    <w:panose1 w:val="020B0603030804020204"/>
    <w:charset w:val="00"/>
    <w:family w:val="auto"/>
    <w:pitch w:val="default"/>
    <w:sig w:usb0="00000000" w:usb1="00000000" w:usb2="0A246029" w:usb3="0400200C" w:csb0="600001FF" w:csb1="DFFF0000"/>
  </w:font>
  <w:font w:name="noto sans thai">
    <w:altName w:val="Yu Gothic UI"/>
    <w:panose1 w:val="020B0502040504020204"/>
    <w:charset w:val="00"/>
    <w:family w:val="auto"/>
    <w:pitch w:val="default"/>
    <w:sig w:usb0="00000000" w:usb1="00000000" w:usb2="00000000" w:usb3="00000000" w:csb0="00010000" w:csb1="00000000"/>
  </w:font>
  <w:font w:name="阳光吾坚体">
    <w:altName w:val="Microsoft Himalaya"/>
    <w:panose1 w:val="01010100010101010101"/>
    <w:charset w:val="00"/>
    <w:family w:val="auto"/>
    <w:pitch w:val="default"/>
    <w:sig w:usb0="00000000" w:usb1="00000000" w:usb2="00000040" w:usb3="00000000" w:csb0="00000001" w:csb1="00000000"/>
  </w:font>
  <w:font w:name="Trebuchet MS">
    <w:panose1 w:val="020B0603020202020204"/>
    <w:charset w:val="00"/>
    <w:family w:val="auto"/>
    <w:pitch w:val="default"/>
    <w:sig w:usb0="00000687" w:usb1="00000000" w:usb2="00000000" w:usb3="00000000" w:csb0="2000009F" w:csb1="00000000"/>
  </w:font>
  <w:font w:name="Yu Gothic UI">
    <w:panose1 w:val="020B0500000000000000"/>
    <w:charset w:val="80"/>
    <w:family w:val="auto"/>
    <w:pitch w:val="default"/>
    <w:sig w:usb0="E00002FF" w:usb1="2AC7FDFF" w:usb2="00000016" w:usb3="00000000" w:csb0="2002009F" w:csb1="00000000"/>
  </w:font>
  <w:font w:name="Microsoft Himalaya">
    <w:panose1 w:val="01010100010101010101"/>
    <w:charset w:val="00"/>
    <w:family w:val="auto"/>
    <w:pitch w:val="default"/>
    <w:sig w:usb0="80000003" w:usb1="00010000" w:usb2="00000040" w:usb3="00000000" w:csb0="00000001"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 w:name="??">
    <w:altName w:val="Times New Roman"/>
    <w:panose1 w:val="00000000000000000000"/>
    <w:charset w:val="00"/>
    <w:family w:val="roman"/>
    <w:pitch w:val="default"/>
    <w:sig w:usb0="00000000" w:usb1="00000000" w:usb2="00000000" w:usb3="00000000" w:csb0="00040001" w:csb1="00000000"/>
  </w:font>
  <w:font w:name="Meiryo UI">
    <w:altName w:val="Yu Gothic UI"/>
    <w:panose1 w:val="020B0604030504040204"/>
    <w:charset w:val="80"/>
    <w:family w:val="auto"/>
    <w:pitch w:val="default"/>
    <w:sig w:usb0="00000000" w:usb1="00000000"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t>—</w:t>
                          </w:r>
                          <w:r>
                            <w:rPr>
                              <w:rFonts w:hint="eastAsia"/>
                              <w:sz w:val="18"/>
                              <w:lang w:val="en-US" w:eastAsia="zh-CN"/>
                            </w:rPr>
                            <w:t xml:space="preserve">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val="en-US" w:eastAsia="zh-CN"/>
                            </w:rPr>
                            <w:t xml:space="preserve"> —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w:t>
                    </w:r>
                    <w:r>
                      <w:rPr>
                        <w:rFonts w:hint="eastAsia"/>
                        <w:sz w:val="18"/>
                        <w:lang w:val="en-US" w:eastAsia="zh-CN"/>
                      </w:rPr>
                      <w:t xml:space="preserve">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val="en-US" w:eastAsia="zh-CN"/>
                      </w:rPr>
                      <w:t xml:space="preserve"> —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655C2"/>
    <w:rsid w:val="00085E40"/>
    <w:rsid w:val="00C62925"/>
    <w:rsid w:val="01F33C44"/>
    <w:rsid w:val="024D6499"/>
    <w:rsid w:val="03CD64A6"/>
    <w:rsid w:val="0404424A"/>
    <w:rsid w:val="0AC82421"/>
    <w:rsid w:val="0B2C1784"/>
    <w:rsid w:val="10F675A9"/>
    <w:rsid w:val="117416D5"/>
    <w:rsid w:val="126D2911"/>
    <w:rsid w:val="12CC3067"/>
    <w:rsid w:val="12EC52B5"/>
    <w:rsid w:val="146F780A"/>
    <w:rsid w:val="14E5476C"/>
    <w:rsid w:val="18162334"/>
    <w:rsid w:val="1C291CE9"/>
    <w:rsid w:val="1E486A83"/>
    <w:rsid w:val="20466974"/>
    <w:rsid w:val="243B6B5F"/>
    <w:rsid w:val="2C1A6653"/>
    <w:rsid w:val="2CA36FC3"/>
    <w:rsid w:val="2EB70B15"/>
    <w:rsid w:val="30D909B5"/>
    <w:rsid w:val="310655C2"/>
    <w:rsid w:val="32EB0A2C"/>
    <w:rsid w:val="349E214C"/>
    <w:rsid w:val="358E0595"/>
    <w:rsid w:val="36C027BB"/>
    <w:rsid w:val="377D69A3"/>
    <w:rsid w:val="37E02D25"/>
    <w:rsid w:val="38EC5F2A"/>
    <w:rsid w:val="3B7E47D1"/>
    <w:rsid w:val="3C435C69"/>
    <w:rsid w:val="3D022AE7"/>
    <w:rsid w:val="3D186CF1"/>
    <w:rsid w:val="3DA276C6"/>
    <w:rsid w:val="437A464D"/>
    <w:rsid w:val="44AD7347"/>
    <w:rsid w:val="46BD2B9D"/>
    <w:rsid w:val="48FD3067"/>
    <w:rsid w:val="4B002120"/>
    <w:rsid w:val="4D5233B6"/>
    <w:rsid w:val="4D7B446F"/>
    <w:rsid w:val="519F3FF5"/>
    <w:rsid w:val="522612ED"/>
    <w:rsid w:val="53A238FB"/>
    <w:rsid w:val="54764E04"/>
    <w:rsid w:val="57B253A5"/>
    <w:rsid w:val="57FD291F"/>
    <w:rsid w:val="58A602B2"/>
    <w:rsid w:val="5B327C57"/>
    <w:rsid w:val="5D3D2224"/>
    <w:rsid w:val="64211E13"/>
    <w:rsid w:val="64717339"/>
    <w:rsid w:val="66A0292A"/>
    <w:rsid w:val="67C87151"/>
    <w:rsid w:val="68E450F5"/>
    <w:rsid w:val="6AD622E1"/>
    <w:rsid w:val="6C6E7941"/>
    <w:rsid w:val="6D873B17"/>
    <w:rsid w:val="6E653455"/>
    <w:rsid w:val="6F703988"/>
    <w:rsid w:val="6FEE142B"/>
    <w:rsid w:val="700A7CD6"/>
    <w:rsid w:val="78D23C82"/>
    <w:rsid w:val="7AEB1361"/>
    <w:rsid w:val="7B5D770F"/>
    <w:rsid w:val="7EBA735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ascii="Calibri" w:hAnsi="Calibri" w:eastAsia="宋体" w:cs="Times New Roman"/>
    </w:rPr>
  </w:style>
  <w:style w:type="paragraph" w:styleId="4">
    <w:name w:val="Body Text Indent"/>
    <w:basedOn w:val="1"/>
    <w:next w:val="3"/>
    <w:qFormat/>
    <w:uiPriority w:val="0"/>
    <w:pPr>
      <w:ind w:left="640"/>
    </w:pPr>
    <w:rPr>
      <w:rFonts w:ascii="宋体" w:hAnsi="宋体" w:eastAsia="宋体"/>
      <w:spacing w:val="0"/>
      <w:szCs w:val="24"/>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Body Text First Indent 2"/>
    <w:basedOn w:val="4"/>
    <w:next w:val="1"/>
    <w:qFormat/>
    <w:uiPriority w:val="0"/>
    <w:pPr>
      <w:spacing w:after="120" w:afterLines="0"/>
      <w:ind w:left="200" w:leftChars="200" w:firstLine="420" w:firstLineChars="200"/>
    </w:pPr>
    <w:rPr>
      <w:rFonts w:ascii="Times New Roman"/>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11">
    <w:name w:val="hover"/>
    <w:basedOn w:val="9"/>
    <w:qFormat/>
    <w:uiPriority w:val="0"/>
    <w:rPr>
      <w:color w:val="015293"/>
    </w:rPr>
  </w:style>
  <w:style w:type="character" w:customStyle="1" w:styleId="12">
    <w:name w:val="hover1"/>
    <w:basedOn w:val="9"/>
    <w:qFormat/>
    <w:uiPriority w:val="0"/>
    <w:rPr>
      <w:color w:val="015293"/>
    </w:rPr>
  </w:style>
  <w:style w:type="paragraph" w:customStyle="1" w:styleId="13">
    <w:name w:val="_Style 11"/>
    <w:basedOn w:val="1"/>
    <w:next w:val="1"/>
    <w:qFormat/>
    <w:uiPriority w:val="0"/>
    <w:pPr>
      <w:pBdr>
        <w:bottom w:val="single" w:color="auto" w:sz="6" w:space="1"/>
      </w:pBdr>
      <w:jc w:val="center"/>
    </w:pPr>
    <w:rPr>
      <w:rFonts w:ascii="Arial" w:eastAsia="宋体"/>
      <w:vanish/>
      <w:sz w:val="16"/>
    </w:rPr>
  </w:style>
  <w:style w:type="paragraph" w:customStyle="1" w:styleId="14">
    <w:name w:val="_Style 12"/>
    <w:basedOn w:val="1"/>
    <w:next w:val="1"/>
    <w:qFormat/>
    <w:uiPriority w:val="0"/>
    <w:pPr>
      <w:pBdr>
        <w:top w:val="single" w:color="auto" w:sz="6" w:space="1"/>
      </w:pBdr>
      <w:jc w:val="center"/>
    </w:pPr>
    <w:rPr>
      <w:rFonts w:ascii="Arial" w:eastAsia="宋体"/>
      <w:vanish/>
      <w:sz w:val="16"/>
    </w:rPr>
  </w:style>
  <w:style w:type="character" w:customStyle="1" w:styleId="15">
    <w:name w:val="font11"/>
    <w:basedOn w:val="9"/>
    <w:qFormat/>
    <w:uiPriority w:val="0"/>
    <w:rPr>
      <w:rFonts w:hint="eastAsia" w:ascii="宋体" w:hAnsi="宋体" w:eastAsia="宋体" w:cs="宋体"/>
      <w:color w:val="000000"/>
      <w:sz w:val="21"/>
      <w:szCs w:val="21"/>
      <w:u w:val="none"/>
    </w:rPr>
  </w:style>
  <w:style w:type="character" w:customStyle="1" w:styleId="16">
    <w:name w:val="font2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2026-07-17T01:08:00Z</dcterms:created>
  <dc:creator>吴林风</dc:creator>
  <cp:lastModifiedBy>吴林风</cp:lastModifiedBy>
  <dcterms:modified xsi:type="dcterms:W3CDTF">2026-08-04T22:57:35Z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