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294CD">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0" w:firstLineChars="0"/>
        <w:jc w:val="both"/>
        <w:textAlignment w:val="auto"/>
        <w:outlineLvl w:val="9"/>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eastAsia="zh-CN"/>
        </w:rPr>
        <w:t>附件</w:t>
      </w:r>
    </w:p>
    <w:p w14:paraId="7262EFF1">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highlight w:val="none"/>
          <w:lang w:eastAsia="zh-CN"/>
        </w:rPr>
      </w:pPr>
    </w:p>
    <w:p w14:paraId="47F60D0C">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辽宁省水利</w:t>
      </w:r>
      <w:r>
        <w:rPr>
          <w:rFonts w:hint="eastAsia" w:ascii="方正小标宋简体" w:hAnsi="方正小标宋简体" w:eastAsia="方正小标宋简体" w:cs="方正小标宋简体"/>
          <w:sz w:val="44"/>
          <w:szCs w:val="44"/>
          <w:highlight w:val="none"/>
          <w:lang w:val="en-US" w:eastAsia="zh-CN"/>
        </w:rPr>
        <w:t>水电工程</w:t>
      </w:r>
      <w:r>
        <w:rPr>
          <w:rFonts w:hint="eastAsia" w:ascii="方正小标宋简体" w:hAnsi="方正小标宋简体" w:eastAsia="方正小标宋简体" w:cs="方正小标宋简体"/>
          <w:sz w:val="44"/>
          <w:szCs w:val="44"/>
          <w:highlight w:val="none"/>
          <w:lang w:eastAsia="zh-CN"/>
        </w:rPr>
        <w:t>施工资质</w:t>
      </w:r>
    </w:p>
    <w:p w14:paraId="0F2F596A">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行业审查工作手册</w:t>
      </w:r>
    </w:p>
    <w:p w14:paraId="099B8A7D">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楷体_GB2312" w:hAnsi="楷体_GB2312" w:eastAsia="楷体_GB2312" w:cs="楷体_GB2312"/>
          <w:sz w:val="32"/>
          <w:szCs w:val="32"/>
          <w:highlight w:val="none"/>
          <w:lang w:eastAsia="zh-CN"/>
        </w:rPr>
      </w:pP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2026年版</w:t>
      </w:r>
      <w:r>
        <w:rPr>
          <w:rFonts w:hint="eastAsia" w:ascii="楷体_GB2312" w:hAnsi="楷体_GB2312" w:eastAsia="楷体_GB2312" w:cs="楷体_GB2312"/>
          <w:sz w:val="32"/>
          <w:szCs w:val="32"/>
          <w:highlight w:val="none"/>
          <w:lang w:eastAsia="zh-CN"/>
        </w:rPr>
        <w:t>）</w:t>
      </w:r>
    </w:p>
    <w:p w14:paraId="3629B8D4">
      <w:pPr>
        <w:keepNext w:val="0"/>
        <w:keepLines w:val="0"/>
        <w:pageBreakBefore w:val="0"/>
        <w:widowControl w:val="0"/>
        <w:numPr>
          <w:ilvl w:val="0"/>
          <w:numId w:val="0"/>
        </w:numPr>
        <w:kinsoku/>
        <w:wordWrap/>
        <w:overflowPunct/>
        <w:topLinePunct w:val="0"/>
        <w:autoSpaceDE/>
        <w:autoSpaceDN/>
        <w:bidi w:val="0"/>
        <w:adjustRightInd/>
        <w:spacing w:line="240" w:lineRule="auto"/>
        <w:ind w:firstLine="632" w:firstLineChars="200"/>
        <w:textAlignment w:val="auto"/>
        <w:rPr>
          <w:rFonts w:hint="eastAsia" w:ascii="仿宋_GB2312" w:hAnsi="仿宋_GB2312" w:eastAsia="仿宋_GB2312" w:cs="仿宋_GB2312"/>
          <w:sz w:val="32"/>
          <w:szCs w:val="32"/>
          <w:highlight w:val="none"/>
          <w:lang w:eastAsia="zh-CN"/>
        </w:rPr>
      </w:pPr>
    </w:p>
    <w:p w14:paraId="398425A8">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eastAsia="zh-CN"/>
        </w:rPr>
        <w:t>一</w:t>
      </w:r>
      <w:r>
        <w:rPr>
          <w:rFonts w:hint="eastAsia" w:ascii="黑体" w:hAnsi="黑体" w:eastAsia="黑体" w:cs="黑体"/>
          <w:sz w:val="32"/>
          <w:szCs w:val="32"/>
          <w:highlight w:val="none"/>
          <w:lang w:val="en-US" w:eastAsia="zh-CN"/>
        </w:rPr>
        <w:t>、总体要求</w:t>
      </w:r>
    </w:p>
    <w:p w14:paraId="1621D48A">
      <w:pPr>
        <w:keepNext w:val="0"/>
        <w:keepLines w:val="0"/>
        <w:pageBreakBefore w:val="0"/>
        <w:widowControl w:val="0"/>
        <w:numPr>
          <w:ilvl w:val="0"/>
          <w:numId w:val="0"/>
        </w:numPr>
        <w:kinsoku/>
        <w:wordWrap/>
        <w:overflowPunct/>
        <w:topLinePunct w:val="0"/>
        <w:autoSpaceDE/>
        <w:autoSpaceDN/>
        <w:bidi w:val="0"/>
        <w:adjustRightInd/>
        <w:spacing w:line="560" w:lineRule="exact"/>
        <w:ind w:firstLine="608" w:firstLineChars="200"/>
        <w:textAlignment w:val="auto"/>
        <w:rPr>
          <w:rFonts w:hint="eastAsia" w:ascii="仿宋_GB2312" w:hAnsi="仿宋_GB2312" w:eastAsia="仿宋_GB2312" w:cs="仿宋_GB2312"/>
          <w:spacing w:val="-6"/>
          <w:sz w:val="32"/>
          <w:szCs w:val="32"/>
          <w:highlight w:val="none"/>
          <w:lang w:val="en-US" w:eastAsia="zh-CN"/>
        </w:rPr>
      </w:pPr>
      <w:r>
        <w:rPr>
          <w:rFonts w:hint="eastAsia" w:ascii="仿宋_GB2312" w:hAnsi="仿宋_GB2312" w:eastAsia="仿宋_GB2312" w:cs="仿宋_GB2312"/>
          <w:spacing w:val="-6"/>
          <w:sz w:val="32"/>
          <w:szCs w:val="32"/>
          <w:highlight w:val="none"/>
          <w:lang w:val="en-US" w:eastAsia="zh-CN"/>
        </w:rPr>
        <w:t>对照住建部发布的建筑业企业资质标准和省住建厅的审查要求，比对全国水利建设市场监管平台、全国建筑市场监管公共服务平台等政府网站公开信息对企业申报材料进行行业审查。审查意见应明确清晰，如果申报材料不符合资质条件需说明具体原因。</w:t>
      </w:r>
    </w:p>
    <w:p w14:paraId="6E54D8E0">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二、审查依据</w:t>
      </w:r>
    </w:p>
    <w:p w14:paraId="482848D4">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黑体" w:hAnsi="黑体" w:eastAsia="黑体" w:cs="黑体"/>
          <w:sz w:val="32"/>
          <w:szCs w:val="32"/>
          <w:highlight w:val="none"/>
          <w:lang w:val="en-US" w:eastAsia="zh-CN"/>
        </w:rPr>
      </w:pPr>
      <w:bookmarkStart w:id="0" w:name="auto_fouce_11"/>
      <w:r>
        <w:rPr>
          <w:rFonts w:hint="eastAsia" w:ascii="仿宋_GB2312" w:hAnsi="仿宋_GB2312" w:eastAsia="仿宋_GB2312" w:cs="仿宋_GB2312"/>
          <w:b w:val="0"/>
          <w:bCs w:val="0"/>
          <w:sz w:val="32"/>
          <w:szCs w:val="32"/>
          <w:highlight w:val="none"/>
          <w:lang w:val="en-US" w:eastAsia="zh-CN"/>
        </w:rPr>
        <w:t>《建筑业企业资质管理规定》《建筑业企业资质标准》《建筑业企业资质管理规定和资质标准实施意见》以及住房和城乡建设部、水利部有关建筑业企业资质管理规定等（详见附件1）。</w:t>
      </w:r>
      <w:bookmarkEnd w:id="0"/>
    </w:p>
    <w:p w14:paraId="5CE5C9DC">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default" w:ascii="黑体" w:hAnsi="黑体" w:eastAsia="黑体" w:cs="黑体"/>
          <w:sz w:val="32"/>
          <w:szCs w:val="30"/>
          <w:highlight w:val="none"/>
          <w:lang w:val="en-US" w:eastAsia="zh-CN"/>
        </w:rPr>
      </w:pPr>
      <w:r>
        <w:rPr>
          <w:rFonts w:hint="eastAsia" w:ascii="黑体" w:hAnsi="黑体" w:eastAsia="黑体" w:cs="黑体"/>
          <w:sz w:val="32"/>
          <w:szCs w:val="32"/>
          <w:highlight w:val="none"/>
          <w:lang w:val="en-US" w:eastAsia="zh-CN"/>
        </w:rPr>
        <w:t>三</w:t>
      </w:r>
      <w:r>
        <w:rPr>
          <w:rFonts w:hint="eastAsia" w:ascii="黑体" w:hAnsi="黑体" w:eastAsia="黑体" w:cs="黑体"/>
          <w:sz w:val="32"/>
          <w:szCs w:val="30"/>
          <w:highlight w:val="none"/>
          <w:lang w:eastAsia="zh-CN"/>
        </w:rPr>
        <w:t>、</w:t>
      </w:r>
      <w:r>
        <w:rPr>
          <w:rFonts w:hint="eastAsia" w:ascii="黑体" w:hAnsi="黑体" w:eastAsia="黑体" w:cs="黑体"/>
          <w:sz w:val="32"/>
          <w:szCs w:val="30"/>
          <w:highlight w:val="none"/>
          <w:lang w:val="en-US" w:eastAsia="zh-CN"/>
        </w:rPr>
        <w:t>审查要点</w:t>
      </w:r>
    </w:p>
    <w:p w14:paraId="176648CB">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楷体_GB2312" w:hAnsi="楷体_GB2312" w:eastAsia="楷体_GB2312" w:cs="楷体_GB2312"/>
          <w:b/>
          <w:bCs/>
          <w:sz w:val="32"/>
          <w:szCs w:val="30"/>
          <w:highlight w:val="none"/>
          <w:lang w:val="en-US" w:eastAsia="zh-CN"/>
        </w:rPr>
      </w:pPr>
      <w:r>
        <w:rPr>
          <w:rFonts w:hint="eastAsia" w:ascii="楷体_GB2312" w:hAnsi="楷体_GB2312" w:eastAsia="楷体_GB2312" w:cs="楷体_GB2312"/>
          <w:b/>
          <w:bCs/>
          <w:sz w:val="32"/>
          <w:szCs w:val="30"/>
          <w:highlight w:val="none"/>
          <w:lang w:val="en-US" w:eastAsia="zh-CN"/>
        </w:rPr>
        <w:t>（一）企业资产</w:t>
      </w:r>
    </w:p>
    <w:p w14:paraId="633A1E24">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1.证明材料</w:t>
      </w:r>
    </w:p>
    <w:p w14:paraId="0AD87C09">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textAlignment w:val="auto"/>
        <w:rPr>
          <w:rFonts w:hint="eastAsia" w:ascii="仿宋_GB2312" w:hAnsi="仿宋_GB2312" w:eastAsia="仿宋_GB2312" w:cs="仿宋_GB2312"/>
          <w:i w:val="0"/>
          <w:caps w:val="0"/>
          <w:color w:val="333333"/>
          <w:spacing w:val="0"/>
          <w:sz w:val="32"/>
          <w:szCs w:val="32"/>
          <w:highlight w:val="none"/>
          <w:shd w:val="clear" w:color="auto" w:fill="FFFFFF"/>
          <w:lang w:val="en-US" w:eastAsia="zh-CN"/>
        </w:rPr>
      </w:pPr>
      <w:r>
        <w:rPr>
          <w:rFonts w:hint="eastAsia" w:ascii="仿宋_GB2312" w:hAnsi="仿宋_GB2312" w:eastAsia="仿宋_GB2312" w:cs="仿宋_GB2312"/>
          <w:i w:val="0"/>
          <w:caps w:val="0"/>
          <w:color w:val="333333"/>
          <w:spacing w:val="0"/>
          <w:sz w:val="32"/>
          <w:szCs w:val="32"/>
          <w:highlight w:val="none"/>
          <w:shd w:val="clear" w:color="auto" w:fill="FFFFFF"/>
        </w:rPr>
        <w:t>企业《营业执照》</w:t>
      </w:r>
      <w:r>
        <w:rPr>
          <w:rFonts w:hint="eastAsia" w:ascii="仿宋_GB2312" w:hAnsi="仿宋_GB2312" w:eastAsia="仿宋_GB2312" w:cs="仿宋_GB2312"/>
          <w:i w:val="0"/>
          <w:caps w:val="0"/>
          <w:color w:val="333333"/>
          <w:spacing w:val="0"/>
          <w:sz w:val="32"/>
          <w:szCs w:val="32"/>
          <w:highlight w:val="none"/>
          <w:shd w:val="clear" w:color="auto" w:fill="FFFFFF"/>
          <w:lang w:val="en-US" w:eastAsia="zh-CN"/>
        </w:rPr>
        <w:t>或企业申请资质前一年度或当期合法的财务报表（全套报告）。</w:t>
      </w:r>
    </w:p>
    <w:p w14:paraId="57BEF4E3">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i w:val="0"/>
          <w:caps w:val="0"/>
          <w:color w:val="333333"/>
          <w:spacing w:val="0"/>
          <w:sz w:val="32"/>
          <w:szCs w:val="32"/>
          <w:highlight w:val="none"/>
          <w:shd w:val="clear" w:color="auto" w:fill="FFFFFF"/>
          <w:lang w:val="en-US" w:eastAsia="zh-CN"/>
        </w:rPr>
      </w:pPr>
      <w:r>
        <w:rPr>
          <w:rFonts w:hint="eastAsia" w:ascii="仿宋_GB2312" w:hAnsi="仿宋_GB2312" w:eastAsia="仿宋_GB2312" w:cs="仿宋_GB2312"/>
          <w:i w:val="0"/>
          <w:caps w:val="0"/>
          <w:color w:val="333333"/>
          <w:spacing w:val="0"/>
          <w:sz w:val="32"/>
          <w:szCs w:val="32"/>
          <w:highlight w:val="none"/>
          <w:shd w:val="clear" w:color="auto" w:fill="FFFFFF"/>
          <w:lang w:val="en-US" w:eastAsia="zh-CN"/>
        </w:rPr>
        <w:t>2.审查标准</w:t>
      </w:r>
    </w:p>
    <w:p w14:paraId="39549C45">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i w:val="0"/>
          <w:caps w:val="0"/>
          <w:color w:val="333333"/>
          <w:spacing w:val="0"/>
          <w:sz w:val="32"/>
          <w:szCs w:val="32"/>
          <w:highlight w:val="none"/>
          <w:shd w:val="clear" w:color="auto" w:fill="FFFFFF"/>
          <w:lang w:val="en-US" w:eastAsia="zh-CN"/>
        </w:rPr>
      </w:pPr>
      <w:r>
        <w:rPr>
          <w:rFonts w:hint="eastAsia" w:ascii="仿宋_GB2312" w:hAnsi="仿宋_GB2312" w:eastAsia="仿宋_GB2312" w:cs="仿宋_GB2312"/>
          <w:i w:val="0"/>
          <w:caps w:val="0"/>
          <w:color w:val="333333"/>
          <w:spacing w:val="0"/>
          <w:sz w:val="32"/>
          <w:szCs w:val="32"/>
          <w:highlight w:val="none"/>
          <w:shd w:val="clear" w:color="auto" w:fill="FFFFFF"/>
          <w:lang w:val="en-US" w:eastAsia="zh-CN"/>
        </w:rPr>
        <w:t>企业净资产以企业申请资质前一年度或当期合法的财务报表中净资产指标为准考核。首次申请资质的，以企业《营业执照》所载注册资本为准考核。</w:t>
      </w:r>
    </w:p>
    <w:p w14:paraId="397FF785">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楷体_GB2312" w:hAnsi="楷体_GB2312" w:eastAsia="楷体_GB2312" w:cs="楷体_GB2312"/>
          <w:b/>
          <w:bCs/>
          <w:i w:val="0"/>
          <w:caps w:val="0"/>
          <w:spacing w:val="0"/>
          <w:sz w:val="32"/>
          <w:szCs w:val="30"/>
          <w:highlight w:val="none"/>
          <w:shd w:val="clear" w:color="auto" w:fill="auto"/>
          <w:lang w:val="en-US" w:eastAsia="zh-CN"/>
        </w:rPr>
      </w:pPr>
      <w:r>
        <w:rPr>
          <w:rFonts w:hint="eastAsia" w:ascii="楷体_GB2312" w:hAnsi="楷体_GB2312" w:eastAsia="楷体_GB2312" w:cs="楷体_GB2312"/>
          <w:b/>
          <w:bCs/>
          <w:i w:val="0"/>
          <w:caps w:val="0"/>
          <w:spacing w:val="0"/>
          <w:sz w:val="32"/>
          <w:szCs w:val="30"/>
          <w:highlight w:val="none"/>
          <w:shd w:val="clear" w:color="auto" w:fill="auto"/>
          <w:lang w:val="en-US" w:eastAsia="zh-CN"/>
        </w:rPr>
        <w:t>（二）主要人员</w:t>
      </w:r>
    </w:p>
    <w:p w14:paraId="6EB16DFC">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default" w:ascii="仿宋_GB2312" w:hAnsi="仿宋_GB2312" w:eastAsia="仿宋_GB2312" w:cs="仿宋_GB2312"/>
          <w:i w:val="0"/>
          <w:caps w:val="0"/>
          <w:color w:val="333333"/>
          <w:spacing w:val="0"/>
          <w:sz w:val="32"/>
          <w:szCs w:val="32"/>
          <w:highlight w:val="none"/>
          <w:shd w:val="clear" w:color="auto" w:fill="FFFFFF"/>
          <w:lang w:val="en-US" w:eastAsia="zh-CN"/>
        </w:rPr>
      </w:pPr>
      <w:r>
        <w:rPr>
          <w:rFonts w:hint="eastAsia" w:ascii="仿宋_GB2312" w:hAnsi="仿宋_GB2312" w:eastAsia="仿宋_GB2312" w:cs="仿宋_GB2312"/>
          <w:i w:val="0"/>
          <w:caps w:val="0"/>
          <w:color w:val="333333"/>
          <w:spacing w:val="0"/>
          <w:sz w:val="32"/>
          <w:szCs w:val="32"/>
          <w:highlight w:val="none"/>
          <w:shd w:val="clear" w:color="auto" w:fill="FFFFFF"/>
          <w:lang w:val="en-US" w:eastAsia="zh-CN"/>
        </w:rPr>
        <w:t>包括建造师、技术负责人、中级及以上技术职称人员、技术工人。</w:t>
      </w:r>
    </w:p>
    <w:p w14:paraId="4116057D">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cs="仿宋_GB2312"/>
          <w:i w:val="0"/>
          <w:caps w:val="0"/>
          <w:color w:val="333333"/>
          <w:spacing w:val="0"/>
          <w:sz w:val="32"/>
          <w:szCs w:val="32"/>
          <w:highlight w:val="none"/>
          <w:shd w:val="clear" w:color="auto" w:fill="FFFFFF"/>
          <w:lang w:val="en-US" w:eastAsia="zh-CN"/>
        </w:rPr>
      </w:pPr>
      <w:r>
        <w:rPr>
          <w:rFonts w:hint="eastAsia" w:ascii="仿宋_GB2312" w:hAnsi="仿宋_GB2312" w:eastAsia="仿宋_GB2312" w:cs="仿宋_GB2312"/>
          <w:i w:val="0"/>
          <w:caps w:val="0"/>
          <w:color w:val="333333"/>
          <w:spacing w:val="0"/>
          <w:sz w:val="32"/>
          <w:szCs w:val="32"/>
          <w:highlight w:val="none"/>
          <w:shd w:val="clear" w:color="auto" w:fill="FFFFFF"/>
          <w:lang w:val="en-US" w:eastAsia="zh-CN"/>
        </w:rPr>
        <w:t>1.证明材料</w:t>
      </w:r>
    </w:p>
    <w:p w14:paraId="532546DD">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cs="仿宋_GB2312"/>
          <w:i w:val="0"/>
          <w:caps w:val="0"/>
          <w:color w:val="333333"/>
          <w:spacing w:val="0"/>
          <w:sz w:val="32"/>
          <w:szCs w:val="32"/>
          <w:highlight w:val="none"/>
          <w:shd w:val="clear" w:color="auto" w:fill="FFFFFF"/>
          <w:lang w:val="en-US" w:eastAsia="zh-CN"/>
        </w:rPr>
        <w:t>（1）</w:t>
      </w:r>
      <w:r>
        <w:rPr>
          <w:rFonts w:hint="eastAsia" w:ascii="仿宋_GB2312" w:hAnsi="仿宋_GB2312" w:eastAsia="仿宋_GB2312"/>
          <w:b w:val="0"/>
          <w:bCs w:val="0"/>
          <w:sz w:val="32"/>
          <w:szCs w:val="30"/>
          <w:highlight w:val="none"/>
          <w:lang w:val="en-US" w:eastAsia="zh-CN"/>
        </w:rPr>
        <w:t>通过全国人力资源和社会保障政务服务平台查询的企业职工基本养老保险缴费信息截图（作为承诺书附件同步上报，承诺真实性）。</w:t>
      </w:r>
    </w:p>
    <w:p w14:paraId="600BF393">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（2）建造师注册证书。</w:t>
      </w:r>
    </w:p>
    <w:p w14:paraId="004FF55B">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sz w:val="32"/>
          <w:szCs w:val="30"/>
          <w:highlight w:val="none"/>
          <w:lang w:val="en-US" w:eastAsia="zh-CN"/>
        </w:rPr>
      </w:pPr>
      <w:r>
        <w:rPr>
          <w:rFonts w:hint="eastAsia" w:ascii="仿宋_GB2312" w:hAnsi="仿宋_GB2312" w:eastAsia="仿宋_GB2312"/>
          <w:b w:val="0"/>
          <w:bCs w:val="0"/>
          <w:sz w:val="32"/>
          <w:szCs w:val="30"/>
          <w:highlight w:val="none"/>
          <w:lang w:val="en-US" w:eastAsia="zh-CN"/>
        </w:rPr>
        <w:t>（3）</w:t>
      </w:r>
      <w:r>
        <w:rPr>
          <w:rFonts w:hint="eastAsia" w:ascii="仿宋_GB2312" w:hAnsi="仿宋_GB2312" w:eastAsia="仿宋_GB2312"/>
          <w:sz w:val="32"/>
          <w:szCs w:val="30"/>
          <w:highlight w:val="none"/>
          <w:lang w:val="en-US" w:eastAsia="zh-CN"/>
        </w:rPr>
        <w:t>地市级及以上人力资源和社会保障主管部门或其授权的单位评审的工程系列专业技术职称证书及全国人力资源和社会保障政务服务平台的查询截图。</w:t>
      </w:r>
    </w:p>
    <w:p w14:paraId="3EC6D95D">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default" w:ascii="仿宋_GB2312" w:hAnsi="仿宋_GB2312" w:eastAsia="仿宋_GB2312"/>
          <w:b w:val="0"/>
          <w:bCs w:val="0"/>
          <w:sz w:val="32"/>
          <w:szCs w:val="30"/>
          <w:highlight w:val="none"/>
          <w:lang w:val="en-US" w:eastAsia="zh-CN"/>
        </w:rPr>
      </w:pPr>
      <w:r>
        <w:rPr>
          <w:rFonts w:hint="eastAsia" w:ascii="仿宋_GB2312" w:hAnsi="仿宋_GB2312" w:eastAsia="仿宋_GB2312"/>
          <w:sz w:val="32"/>
          <w:szCs w:val="30"/>
          <w:highlight w:val="none"/>
          <w:lang w:val="en-US" w:eastAsia="zh-CN"/>
        </w:rPr>
        <w:t>（4）住房和城乡建设部、国务院有关部门、省级住房城乡建设主管部门或有关部门认可的机构或建筑业企业颁发的职业培训合格证书或职业技能等级证书。</w:t>
      </w:r>
    </w:p>
    <w:p w14:paraId="0BC24E7E">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2.审查标准</w:t>
      </w:r>
    </w:p>
    <w:p w14:paraId="2FEABF77">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有效申报人员的数量及专业应满足《建筑业企业资质标准》等相关要求。</w:t>
      </w:r>
    </w:p>
    <w:p w14:paraId="43CD4FD2">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textAlignment w:val="auto"/>
        <w:rPr>
          <w:rFonts w:hint="eastAsia" w:ascii="仿宋_GB2312" w:hAnsi="仿宋_GB2312" w:eastAsia="仿宋_GB2312" w:cs="仿宋_GB2312"/>
          <w:i w:val="0"/>
          <w:caps w:val="0"/>
          <w:color w:val="000000"/>
          <w:spacing w:val="0"/>
          <w:sz w:val="32"/>
          <w:szCs w:val="32"/>
          <w:highlight w:val="none"/>
          <w:shd w:val="clear" w:color="auto" w:fill="FFFFFF"/>
        </w:rPr>
      </w:pPr>
      <w:r>
        <w:rPr>
          <w:rFonts w:hint="eastAsia" w:ascii="仿宋_GB2312" w:hAnsi="仿宋_GB2312" w:eastAsia="仿宋_GB2312" w:cs="仿宋_GB2312"/>
          <w:i w:val="0"/>
          <w:caps w:val="0"/>
          <w:color w:val="000000"/>
          <w:spacing w:val="0"/>
          <w:kern w:val="2"/>
          <w:sz w:val="32"/>
          <w:szCs w:val="32"/>
          <w:highlight w:val="none"/>
          <w:shd w:val="clear" w:color="auto" w:fill="FFFFFF"/>
          <w:lang w:val="en-US" w:eastAsia="zh-CN" w:bidi="ar-SA"/>
        </w:rPr>
        <w:t>（1）</w:t>
      </w:r>
      <w:r>
        <w:rPr>
          <w:rFonts w:hint="eastAsia" w:ascii="仿宋_GB2312" w:hAnsi="仿宋_GB2312" w:eastAsia="仿宋_GB2312" w:cs="仿宋_GB2312"/>
          <w:sz w:val="32"/>
          <w:szCs w:val="32"/>
          <w:highlight w:val="none"/>
          <w:lang w:val="en-US" w:eastAsia="zh-CN"/>
        </w:rPr>
        <w:t>申报</w:t>
      </w:r>
      <w:r>
        <w:rPr>
          <w:rFonts w:hint="eastAsia" w:ascii="仿宋_GB2312" w:hAnsi="仿宋_GB2312" w:eastAsia="仿宋_GB2312" w:cs="仿宋_GB2312"/>
          <w:i w:val="0"/>
          <w:caps w:val="0"/>
          <w:color w:val="000000"/>
          <w:spacing w:val="0"/>
          <w:sz w:val="32"/>
          <w:szCs w:val="32"/>
          <w:highlight w:val="none"/>
          <w:shd w:val="clear" w:color="auto" w:fill="FFFFFF"/>
        </w:rPr>
        <w:t>人员</w:t>
      </w:r>
      <w:r>
        <w:rPr>
          <w:rFonts w:hint="eastAsia" w:ascii="仿宋_GB2312" w:hAnsi="仿宋_GB2312" w:eastAsia="仿宋_GB2312" w:cs="仿宋_GB2312"/>
          <w:i w:val="0"/>
          <w:caps w:val="0"/>
          <w:color w:val="000000"/>
          <w:spacing w:val="0"/>
          <w:sz w:val="32"/>
          <w:szCs w:val="32"/>
          <w:highlight w:val="none"/>
          <w:shd w:val="clear" w:color="auto" w:fill="FFFFFF"/>
          <w:lang w:val="en-US" w:eastAsia="zh-CN"/>
        </w:rPr>
        <w:t>年龄应符合住建部</w:t>
      </w:r>
      <w:r>
        <w:rPr>
          <w:rFonts w:hint="eastAsia" w:ascii="仿宋_GB2312" w:hAnsi="仿宋_GB2312" w:eastAsia="仿宋_GB2312" w:cs="仿宋_GB2312"/>
          <w:sz w:val="32"/>
          <w:szCs w:val="32"/>
          <w:highlight w:val="none"/>
        </w:rPr>
        <w:t>《建筑业企业资质管理规定和资质标准实施意见》</w:t>
      </w:r>
      <w:r>
        <w:rPr>
          <w:rFonts w:hint="eastAsia" w:ascii="仿宋_GB2312" w:hAnsi="仿宋_GB2312" w:eastAsia="仿宋_GB2312" w:cs="仿宋_GB2312"/>
          <w:sz w:val="32"/>
          <w:szCs w:val="32"/>
          <w:highlight w:val="none"/>
          <w:lang w:val="en-US" w:eastAsia="zh-CN"/>
        </w:rPr>
        <w:t>的要求</w:t>
      </w:r>
      <w:r>
        <w:rPr>
          <w:rFonts w:hint="eastAsia" w:ascii="仿宋_GB2312" w:hAnsi="仿宋_GB2312" w:eastAsia="仿宋_GB2312" w:cs="仿宋_GB2312"/>
          <w:i w:val="0"/>
          <w:caps w:val="0"/>
          <w:color w:val="000000"/>
          <w:spacing w:val="0"/>
          <w:sz w:val="32"/>
          <w:szCs w:val="32"/>
          <w:highlight w:val="none"/>
          <w:shd w:val="clear" w:color="auto" w:fill="FFFFFF"/>
          <w:lang w:val="en-US" w:eastAsia="zh-CN"/>
        </w:rPr>
        <w:t>，且</w:t>
      </w:r>
      <w:r>
        <w:rPr>
          <w:rFonts w:hint="eastAsia" w:ascii="仿宋_GB2312" w:hAnsi="仿宋_GB2312" w:eastAsia="仿宋_GB2312" w:cs="仿宋_GB2312"/>
          <w:i w:val="0"/>
          <w:caps w:val="0"/>
          <w:color w:val="000000"/>
          <w:spacing w:val="0"/>
          <w:sz w:val="32"/>
          <w:szCs w:val="32"/>
          <w:highlight w:val="none"/>
          <w:shd w:val="clear" w:color="auto" w:fill="FFFFFF"/>
        </w:rPr>
        <w:t>社会保险必须仅由申报企业或申报企业分支机构名义</w:t>
      </w:r>
      <w:r>
        <w:rPr>
          <w:rFonts w:hint="eastAsia" w:ascii="仿宋_GB2312" w:hAnsi="仿宋_GB2312" w:eastAsia="仿宋_GB2312" w:cs="仿宋_GB2312"/>
          <w:i w:val="0"/>
          <w:caps w:val="0"/>
          <w:color w:val="000000"/>
          <w:spacing w:val="0"/>
          <w:sz w:val="32"/>
          <w:szCs w:val="32"/>
          <w:highlight w:val="none"/>
          <w:shd w:val="clear" w:color="auto" w:fill="FFFFFF"/>
          <w:lang w:eastAsia="zh-CN"/>
        </w:rPr>
        <w:t>依法</w:t>
      </w:r>
      <w:r>
        <w:rPr>
          <w:rFonts w:hint="eastAsia" w:ascii="仿宋_GB2312" w:hAnsi="仿宋_GB2312" w:eastAsia="仿宋_GB2312" w:cs="仿宋_GB2312"/>
          <w:i w:val="0"/>
          <w:caps w:val="0"/>
          <w:color w:val="000000"/>
          <w:spacing w:val="0"/>
          <w:sz w:val="32"/>
          <w:szCs w:val="32"/>
          <w:highlight w:val="none"/>
          <w:shd w:val="clear" w:color="auto" w:fill="FFFFFF"/>
        </w:rPr>
        <w:t>缴纳，以个人名义缴纳社保的人员不作为有效人员认定。</w:t>
      </w:r>
      <w:r>
        <w:rPr>
          <w:rFonts w:hint="eastAsia" w:ascii="仿宋_GB2312" w:hAnsi="仿宋_GB2312" w:eastAsia="仿宋_GB2312" w:cs="仿宋_GB2312"/>
          <w:i w:val="0"/>
          <w:caps w:val="0"/>
          <w:color w:val="000000"/>
          <w:spacing w:val="0"/>
          <w:sz w:val="32"/>
          <w:szCs w:val="32"/>
          <w:highlight w:val="none"/>
          <w:shd w:val="clear" w:color="auto" w:fill="FFFFFF"/>
          <w:lang w:val="en-US" w:eastAsia="zh-CN"/>
        </w:rPr>
        <w:t>企业以其全资或控股的劳务企业技术工人作为企业主要人员申请施工总承包资质的，技术工人社会保险应由其全资或绝对控股的劳务企业缴纳。</w:t>
      </w:r>
    </w:p>
    <w:p w14:paraId="4C35651F">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i w:val="0"/>
          <w:caps w:val="0"/>
          <w:color w:val="000000"/>
          <w:spacing w:val="0"/>
          <w:sz w:val="32"/>
          <w:szCs w:val="32"/>
          <w:highlight w:val="none"/>
          <w:shd w:val="clear" w:color="auto" w:fill="FFFFFF"/>
          <w:lang w:eastAsia="zh-CN"/>
        </w:rPr>
      </w:pPr>
      <w:r>
        <w:rPr>
          <w:rFonts w:hint="eastAsia" w:ascii="仿宋_GB2312" w:hAnsi="仿宋_GB2312" w:eastAsia="仿宋_GB2312" w:cs="仿宋_GB2312"/>
          <w:i w:val="0"/>
          <w:caps w:val="0"/>
          <w:color w:val="000000"/>
          <w:spacing w:val="0"/>
          <w:kern w:val="2"/>
          <w:sz w:val="32"/>
          <w:szCs w:val="32"/>
          <w:highlight w:val="none"/>
          <w:shd w:val="clear" w:color="auto" w:fill="FFFFFF"/>
          <w:lang w:val="en-US" w:eastAsia="zh-CN" w:bidi="ar-SA"/>
        </w:rPr>
        <w:t>（2）</w:t>
      </w:r>
      <w:r>
        <w:rPr>
          <w:rFonts w:hint="eastAsia" w:ascii="仿宋_GB2312" w:hAnsi="仿宋_GB2312" w:eastAsia="仿宋_GB2312" w:cs="仿宋_GB2312"/>
          <w:i w:val="0"/>
          <w:caps w:val="0"/>
          <w:color w:val="000000"/>
          <w:spacing w:val="0"/>
          <w:sz w:val="32"/>
          <w:szCs w:val="32"/>
          <w:highlight w:val="none"/>
          <w:shd w:val="clear" w:color="auto" w:fill="FFFFFF"/>
          <w:lang w:val="en-US" w:eastAsia="zh-CN"/>
        </w:rPr>
        <w:t>申报</w:t>
      </w:r>
      <w:r>
        <w:rPr>
          <w:rFonts w:hint="eastAsia" w:ascii="仿宋_GB2312" w:hAnsi="仿宋_GB2312" w:eastAsia="仿宋_GB2312" w:cs="仿宋_GB2312"/>
          <w:i w:val="0"/>
          <w:caps w:val="0"/>
          <w:color w:val="000000"/>
          <w:spacing w:val="0"/>
          <w:sz w:val="32"/>
          <w:szCs w:val="32"/>
          <w:highlight w:val="none"/>
          <w:shd w:val="clear" w:color="auto" w:fill="FFFFFF"/>
          <w:lang w:eastAsia="zh-CN"/>
        </w:rPr>
        <w:t>人员</w:t>
      </w:r>
      <w:r>
        <w:rPr>
          <w:rFonts w:hint="eastAsia" w:ascii="仿宋_GB2312" w:hAnsi="仿宋_GB2312" w:eastAsia="仿宋_GB2312" w:cs="仿宋_GB2312"/>
          <w:i w:val="0"/>
          <w:caps w:val="0"/>
          <w:color w:val="000000"/>
          <w:spacing w:val="0"/>
          <w:sz w:val="32"/>
          <w:szCs w:val="32"/>
          <w:highlight w:val="none"/>
          <w:shd w:val="clear" w:color="auto" w:fill="FFFFFF"/>
          <w:lang w:val="en-US" w:eastAsia="zh-CN"/>
        </w:rPr>
        <w:t>的从业</w:t>
      </w:r>
      <w:r>
        <w:rPr>
          <w:rFonts w:hint="eastAsia" w:ascii="仿宋_GB2312" w:hAnsi="仿宋_GB2312" w:eastAsia="仿宋_GB2312" w:cs="仿宋_GB2312"/>
          <w:i w:val="0"/>
          <w:caps w:val="0"/>
          <w:color w:val="000000"/>
          <w:spacing w:val="0"/>
          <w:sz w:val="32"/>
          <w:szCs w:val="32"/>
          <w:highlight w:val="none"/>
          <w:shd w:val="clear" w:color="auto" w:fill="FFFFFF"/>
          <w:lang w:eastAsia="zh-CN"/>
        </w:rPr>
        <w:t>信息</w:t>
      </w:r>
      <w:r>
        <w:rPr>
          <w:rFonts w:hint="eastAsia" w:ascii="仿宋_GB2312" w:hAnsi="仿宋_GB2312" w:eastAsia="仿宋_GB2312" w:cs="仿宋_GB2312"/>
          <w:i w:val="0"/>
          <w:caps w:val="0"/>
          <w:color w:val="000000"/>
          <w:spacing w:val="0"/>
          <w:sz w:val="32"/>
          <w:szCs w:val="32"/>
          <w:highlight w:val="none"/>
          <w:shd w:val="clear" w:color="auto" w:fill="FFFFFF"/>
          <w:lang w:val="en-US" w:eastAsia="zh-CN"/>
        </w:rPr>
        <w:t>在</w:t>
      </w:r>
      <w:r>
        <w:rPr>
          <w:rFonts w:hint="eastAsia" w:ascii="仿宋_GB2312" w:hAnsi="仿宋_GB2312" w:eastAsia="仿宋_GB2312" w:cs="仿宋_GB2312"/>
          <w:i w:val="0"/>
          <w:caps w:val="0"/>
          <w:color w:val="000000"/>
          <w:spacing w:val="0"/>
          <w:sz w:val="32"/>
          <w:szCs w:val="32"/>
          <w:highlight w:val="none"/>
          <w:shd w:val="clear" w:color="auto" w:fill="FFFFFF"/>
          <w:lang w:eastAsia="zh-CN"/>
        </w:rPr>
        <w:t>审查</w:t>
      </w:r>
      <w:r>
        <w:rPr>
          <w:rFonts w:hint="eastAsia" w:ascii="仿宋_GB2312" w:hAnsi="仿宋_GB2312" w:eastAsia="仿宋_GB2312" w:cs="仿宋_GB2312"/>
          <w:i w:val="0"/>
          <w:caps w:val="0"/>
          <w:color w:val="000000"/>
          <w:spacing w:val="0"/>
          <w:sz w:val="32"/>
          <w:szCs w:val="32"/>
          <w:highlight w:val="none"/>
          <w:shd w:val="clear" w:color="auto" w:fill="FFFFFF"/>
          <w:lang w:val="en-US" w:eastAsia="zh-CN"/>
        </w:rPr>
        <w:t>期间发现</w:t>
      </w:r>
      <w:r>
        <w:rPr>
          <w:rFonts w:hint="eastAsia" w:ascii="仿宋_GB2312" w:hAnsi="仿宋_GB2312" w:eastAsia="仿宋_GB2312" w:cs="仿宋_GB2312"/>
          <w:i w:val="0"/>
          <w:caps w:val="0"/>
          <w:color w:val="000000"/>
          <w:spacing w:val="0"/>
          <w:sz w:val="32"/>
          <w:szCs w:val="32"/>
          <w:highlight w:val="none"/>
          <w:shd w:val="clear" w:color="auto" w:fill="FFFFFF"/>
          <w:lang w:eastAsia="zh-CN"/>
        </w:rPr>
        <w:t>与全国水利建设市场监管平台、全国建筑市场监管公共服务平台查询信息或政府网站公开信息不一致的，</w:t>
      </w:r>
      <w:r>
        <w:rPr>
          <w:rFonts w:hint="eastAsia" w:ascii="仿宋_GB2312" w:hAnsi="仿宋_GB2312" w:eastAsia="仿宋_GB2312" w:cs="仿宋_GB2312"/>
          <w:i w:val="0"/>
          <w:caps w:val="0"/>
          <w:color w:val="000000"/>
          <w:spacing w:val="0"/>
          <w:sz w:val="32"/>
          <w:szCs w:val="32"/>
          <w:highlight w:val="none"/>
          <w:shd w:val="clear" w:color="auto" w:fill="FFFFFF"/>
          <w:lang w:val="en-US" w:eastAsia="zh-CN"/>
        </w:rPr>
        <w:t>该</w:t>
      </w:r>
      <w:r>
        <w:rPr>
          <w:rFonts w:hint="eastAsia" w:ascii="仿宋_GB2312" w:hAnsi="仿宋_GB2312" w:eastAsia="仿宋_GB2312" w:cs="仿宋_GB2312"/>
          <w:i w:val="0"/>
          <w:caps w:val="0"/>
          <w:color w:val="000000"/>
          <w:spacing w:val="0"/>
          <w:sz w:val="32"/>
          <w:szCs w:val="32"/>
          <w:highlight w:val="none"/>
          <w:shd w:val="clear" w:color="auto" w:fill="FFFFFF"/>
          <w:lang w:eastAsia="zh-CN"/>
        </w:rPr>
        <w:t>人员</w:t>
      </w:r>
      <w:r>
        <w:rPr>
          <w:rFonts w:hint="eastAsia" w:ascii="仿宋_GB2312" w:hAnsi="仿宋_GB2312" w:eastAsia="仿宋_GB2312" w:cs="仿宋_GB2312"/>
          <w:i w:val="0"/>
          <w:caps w:val="0"/>
          <w:color w:val="000000"/>
          <w:spacing w:val="0"/>
          <w:sz w:val="32"/>
          <w:szCs w:val="32"/>
          <w:highlight w:val="none"/>
          <w:shd w:val="clear" w:color="auto" w:fill="FFFFFF"/>
        </w:rPr>
        <w:t>不作为有效人员认定。</w:t>
      </w:r>
    </w:p>
    <w:p w14:paraId="2E96EDCE">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cs="Times New Roman"/>
          <w:b w:val="0"/>
          <w:bCs w:val="0"/>
          <w:kern w:val="2"/>
          <w:sz w:val="32"/>
          <w:szCs w:val="30"/>
          <w:highlight w:val="none"/>
          <w:lang w:val="en-US" w:eastAsia="zh-CN" w:bidi="ar-SA"/>
        </w:rPr>
        <w:t>（3）</w:t>
      </w:r>
      <w:r>
        <w:rPr>
          <w:rFonts w:hint="eastAsia" w:ascii="仿宋_GB2312" w:hAnsi="仿宋_GB2312" w:eastAsia="仿宋_GB2312" w:cs="仿宋_GB2312"/>
          <w:i w:val="0"/>
          <w:caps w:val="0"/>
          <w:color w:val="000000"/>
          <w:spacing w:val="0"/>
          <w:sz w:val="32"/>
          <w:szCs w:val="32"/>
          <w:highlight w:val="none"/>
          <w:shd w:val="clear" w:color="auto" w:fill="FFFFFF"/>
          <w:lang w:eastAsia="zh-CN"/>
        </w:rPr>
        <w:t>注册建造师、技术负责人、水利水电工程相关专业中级及以上技术职称人员可以兼任，但与考核或培训合格的中级工以上技术工人不可兼任。</w:t>
      </w:r>
    </w:p>
    <w:p w14:paraId="5EE2D129">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kern w:val="2"/>
          <w:sz w:val="32"/>
          <w:szCs w:val="32"/>
          <w:highlight w:val="none"/>
          <w:lang w:val="en-US" w:eastAsia="zh-CN" w:bidi="ar-SA"/>
        </w:rPr>
        <w:t>（4）</w:t>
      </w:r>
      <w:r>
        <w:rPr>
          <w:rFonts w:hint="eastAsia" w:ascii="仿宋_GB2312" w:hAnsi="仿宋_GB2312" w:eastAsia="仿宋_GB2312" w:cs="仿宋_GB2312"/>
          <w:i w:val="0"/>
          <w:caps w:val="0"/>
          <w:color w:val="000000"/>
          <w:spacing w:val="0"/>
          <w:sz w:val="32"/>
          <w:szCs w:val="32"/>
          <w:highlight w:val="none"/>
          <w:shd w:val="clear" w:color="auto" w:fill="FFFFFF"/>
        </w:rPr>
        <w:t>《建筑业企业资质标准》中对申报的</w:t>
      </w:r>
      <w:r>
        <w:rPr>
          <w:rFonts w:hint="eastAsia" w:ascii="仿宋_GB2312" w:hAnsi="仿宋_GB2312" w:eastAsia="仿宋_GB2312" w:cs="仿宋_GB2312"/>
          <w:i w:val="0"/>
          <w:caps w:val="0"/>
          <w:color w:val="000000"/>
          <w:spacing w:val="0"/>
          <w:sz w:val="32"/>
          <w:szCs w:val="32"/>
          <w:highlight w:val="none"/>
          <w:shd w:val="clear" w:color="auto" w:fill="FFFFFF"/>
          <w:lang w:eastAsia="zh-CN"/>
        </w:rPr>
        <w:t>技术</w:t>
      </w:r>
      <w:r>
        <w:rPr>
          <w:rFonts w:hint="eastAsia" w:ascii="仿宋_GB2312" w:hAnsi="仿宋_GB2312" w:eastAsia="仿宋_GB2312" w:cs="仿宋_GB2312"/>
          <w:i w:val="0"/>
          <w:caps w:val="0"/>
          <w:color w:val="000000"/>
          <w:spacing w:val="0"/>
          <w:sz w:val="32"/>
          <w:szCs w:val="32"/>
          <w:highlight w:val="none"/>
          <w:shd w:val="clear" w:color="auto" w:fill="FFFFFF"/>
        </w:rPr>
        <w:t>职称人员专业作了限定，且要求专业齐全的，是指申报人员应由具有相应专业的人员组成，且每个专业至少有1人。</w:t>
      </w:r>
    </w:p>
    <w:p w14:paraId="54A8116A">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kern w:val="2"/>
          <w:sz w:val="32"/>
          <w:szCs w:val="32"/>
          <w:highlight w:val="none"/>
          <w:lang w:val="en-US" w:eastAsia="zh-CN" w:bidi="ar-SA"/>
        </w:rPr>
        <w:t>（5）</w:t>
      </w:r>
      <w:r>
        <w:rPr>
          <w:rFonts w:hint="eastAsia" w:ascii="仿宋_GB2312" w:hAnsi="仿宋_GB2312" w:eastAsia="仿宋_GB2312" w:cs="仿宋_GB2312"/>
          <w:sz w:val="32"/>
          <w:szCs w:val="32"/>
          <w:highlight w:val="none"/>
          <w:lang w:eastAsia="zh-CN"/>
        </w:rPr>
        <w:t>水利水电工程相关专业包括水利水电工程建筑、水利工程施工、农田水利工程、水电站动力设备、电力系统及自动化、水力学及河流动力学、水文与水资源、工程地质及水文地质、水利机械等专业。申报企业提供的技术职称人员的专业与标准要求的专业相近，且资质许可部门（即省住建厅）认可的，审查时同样予以认可，其他专业不予认可。</w:t>
      </w:r>
    </w:p>
    <w:p w14:paraId="304E1A2E">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楷体_GB2312" w:hAnsi="楷体_GB2312" w:eastAsia="楷体_GB2312" w:cs="楷体_GB2312"/>
          <w:b/>
          <w:bCs/>
          <w:sz w:val="32"/>
          <w:szCs w:val="30"/>
          <w:highlight w:val="none"/>
          <w:lang w:val="en-US" w:eastAsia="zh-CN"/>
        </w:rPr>
      </w:pPr>
      <w:r>
        <w:rPr>
          <w:rFonts w:hint="eastAsia" w:ascii="楷体_GB2312" w:hAnsi="楷体_GB2312" w:eastAsia="楷体_GB2312" w:cs="楷体_GB2312"/>
          <w:b/>
          <w:bCs/>
          <w:sz w:val="32"/>
          <w:szCs w:val="30"/>
          <w:highlight w:val="none"/>
          <w:lang w:val="en-US" w:eastAsia="zh-CN"/>
        </w:rPr>
        <w:t>（三）企业或技术负责人业绩</w:t>
      </w:r>
    </w:p>
    <w:p w14:paraId="693A62AD">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1.证明材料</w:t>
      </w:r>
    </w:p>
    <w:p w14:paraId="2A8D3235">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default" w:ascii="仿宋_GB2312" w:hAnsi="仿宋_GB2312" w:eastAsia="仿宋_GB2312"/>
          <w:b w:val="0"/>
          <w:bCs w:val="0"/>
          <w:sz w:val="32"/>
          <w:szCs w:val="30"/>
          <w:highlight w:val="none"/>
          <w:lang w:val="en-US" w:eastAsia="zh-CN"/>
        </w:rPr>
      </w:pPr>
      <w:r>
        <w:rPr>
          <w:rFonts w:hint="default" w:ascii="仿宋_GB2312" w:hAnsi="仿宋_GB2312" w:eastAsia="仿宋_GB2312"/>
          <w:b w:val="0"/>
          <w:bCs w:val="0"/>
          <w:sz w:val="32"/>
          <w:szCs w:val="30"/>
          <w:highlight w:val="none"/>
          <w:lang w:val="en-US" w:eastAsia="zh-CN"/>
        </w:rPr>
        <w:t>业绩证明材料一般由工程中标通知书、承包合同、竣工（合同工程完工）验收鉴定书等组成。</w:t>
      </w:r>
      <w:r>
        <w:rPr>
          <w:rFonts w:hint="eastAsia" w:ascii="仿宋_GB2312" w:hAnsi="仿宋_GB2312" w:eastAsia="仿宋_GB2312"/>
          <w:b w:val="0"/>
          <w:bCs w:val="0"/>
          <w:sz w:val="32"/>
          <w:szCs w:val="30"/>
          <w:highlight w:val="none"/>
          <w:lang w:val="en-US" w:eastAsia="zh-CN"/>
        </w:rPr>
        <w:t>上述</w:t>
      </w:r>
      <w:r>
        <w:rPr>
          <w:rFonts w:hint="default" w:ascii="仿宋_GB2312" w:hAnsi="仿宋_GB2312" w:eastAsia="仿宋_GB2312"/>
          <w:b w:val="0"/>
          <w:bCs w:val="0"/>
          <w:sz w:val="32"/>
          <w:szCs w:val="30"/>
          <w:highlight w:val="none"/>
          <w:lang w:val="en-US" w:eastAsia="zh-CN"/>
        </w:rPr>
        <w:t>材料不能明确反映业绩考核指标的，企业需要提供能反映该项技术指标的初步设计批复文件、设计图纸等有效证明文件。</w:t>
      </w:r>
    </w:p>
    <w:p w14:paraId="09F673A2">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default"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企业缺少</w:t>
      </w:r>
      <w:r>
        <w:rPr>
          <w:rFonts w:hint="default" w:ascii="仿宋_GB2312" w:hAnsi="仿宋_GB2312" w:eastAsia="仿宋_GB2312"/>
          <w:b w:val="0"/>
          <w:bCs w:val="0"/>
          <w:sz w:val="32"/>
          <w:szCs w:val="30"/>
          <w:highlight w:val="none"/>
          <w:lang w:val="en-US" w:eastAsia="zh-CN"/>
        </w:rPr>
        <w:t>业绩证明材料</w:t>
      </w:r>
      <w:r>
        <w:rPr>
          <w:rFonts w:hint="eastAsia" w:ascii="仿宋_GB2312" w:hAnsi="仿宋_GB2312" w:eastAsia="仿宋_GB2312"/>
          <w:b w:val="0"/>
          <w:bCs w:val="0"/>
          <w:sz w:val="32"/>
          <w:szCs w:val="30"/>
          <w:highlight w:val="none"/>
          <w:lang w:val="en-US" w:eastAsia="zh-CN"/>
        </w:rPr>
        <w:t>的</w:t>
      </w:r>
      <w:r>
        <w:rPr>
          <w:rFonts w:hint="default" w:ascii="仿宋_GB2312" w:hAnsi="仿宋_GB2312" w:eastAsia="仿宋_GB2312"/>
          <w:b w:val="0"/>
          <w:bCs w:val="0"/>
          <w:sz w:val="32"/>
          <w:szCs w:val="30"/>
          <w:highlight w:val="none"/>
          <w:lang w:val="en-US" w:eastAsia="zh-CN"/>
        </w:rPr>
        <w:t>，</w:t>
      </w:r>
      <w:r>
        <w:rPr>
          <w:rFonts w:hint="eastAsia" w:ascii="仿宋_GB2312" w:hAnsi="仿宋_GB2312" w:eastAsia="仿宋_GB2312"/>
          <w:b w:val="0"/>
          <w:bCs w:val="0"/>
          <w:sz w:val="32"/>
          <w:szCs w:val="30"/>
          <w:highlight w:val="none"/>
          <w:lang w:val="en-US" w:eastAsia="zh-CN"/>
        </w:rPr>
        <w:t>可以</w:t>
      </w:r>
      <w:r>
        <w:rPr>
          <w:rFonts w:hint="default" w:ascii="仿宋_GB2312" w:hAnsi="仿宋_GB2312" w:eastAsia="仿宋_GB2312"/>
          <w:b w:val="0"/>
          <w:bCs w:val="0"/>
          <w:sz w:val="32"/>
          <w:szCs w:val="30"/>
          <w:highlight w:val="none"/>
          <w:lang w:val="en-US" w:eastAsia="zh-CN"/>
        </w:rPr>
        <w:t>到项目所在地的水利部门申请政务信息公开</w:t>
      </w:r>
      <w:r>
        <w:rPr>
          <w:rFonts w:hint="eastAsia" w:ascii="仿宋_GB2312" w:hAnsi="仿宋_GB2312" w:eastAsia="仿宋_GB2312"/>
          <w:b w:val="0"/>
          <w:bCs w:val="0"/>
          <w:sz w:val="32"/>
          <w:szCs w:val="30"/>
          <w:highlight w:val="none"/>
          <w:lang w:val="en-US" w:eastAsia="zh-CN"/>
        </w:rPr>
        <w:t>，</w:t>
      </w:r>
      <w:r>
        <w:rPr>
          <w:rFonts w:hint="default" w:ascii="仿宋_GB2312" w:hAnsi="仿宋_GB2312" w:eastAsia="仿宋_GB2312"/>
          <w:b w:val="0"/>
          <w:bCs w:val="0"/>
          <w:sz w:val="32"/>
          <w:szCs w:val="30"/>
          <w:highlight w:val="none"/>
          <w:lang w:val="en-US" w:eastAsia="zh-CN"/>
        </w:rPr>
        <w:t>取得材料后</w:t>
      </w:r>
      <w:r>
        <w:rPr>
          <w:rFonts w:hint="eastAsia" w:ascii="仿宋_GB2312" w:hAnsi="仿宋_GB2312" w:eastAsia="仿宋_GB2312"/>
          <w:b w:val="0"/>
          <w:bCs w:val="0"/>
          <w:sz w:val="32"/>
          <w:szCs w:val="30"/>
          <w:highlight w:val="none"/>
          <w:lang w:val="en-US" w:eastAsia="zh-CN"/>
        </w:rPr>
        <w:t>再</w:t>
      </w:r>
      <w:r>
        <w:rPr>
          <w:rFonts w:hint="default" w:ascii="仿宋_GB2312" w:hAnsi="仿宋_GB2312" w:eastAsia="仿宋_GB2312"/>
          <w:b w:val="0"/>
          <w:bCs w:val="0"/>
          <w:sz w:val="32"/>
          <w:szCs w:val="30"/>
          <w:highlight w:val="none"/>
          <w:lang w:val="en-US" w:eastAsia="zh-CN"/>
        </w:rPr>
        <w:t>进行资质申报</w:t>
      </w:r>
      <w:r>
        <w:rPr>
          <w:rFonts w:hint="eastAsia" w:ascii="仿宋_GB2312" w:hAnsi="仿宋_GB2312" w:eastAsia="仿宋_GB2312"/>
          <w:b w:val="0"/>
          <w:bCs w:val="0"/>
          <w:sz w:val="32"/>
          <w:szCs w:val="30"/>
          <w:highlight w:val="none"/>
          <w:lang w:val="en-US" w:eastAsia="zh-CN"/>
        </w:rPr>
        <w:t>。</w:t>
      </w:r>
    </w:p>
    <w:p w14:paraId="790EBB0A">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textAlignment w:val="auto"/>
        <w:rPr>
          <w:rFonts w:hint="eastAsia" w:ascii="仿宋_GB2312" w:hAnsi="仿宋_GB2312" w:eastAsia="仿宋_GB2312"/>
          <w:sz w:val="32"/>
          <w:szCs w:val="30"/>
          <w:highlight w:val="none"/>
          <w:lang w:val="en-US" w:eastAsia="zh-CN"/>
        </w:rPr>
      </w:pPr>
      <w:r>
        <w:rPr>
          <w:rFonts w:hint="eastAsia" w:ascii="仿宋_GB2312" w:hAnsi="仿宋_GB2312" w:eastAsia="仿宋_GB2312"/>
          <w:b w:val="0"/>
          <w:bCs w:val="0"/>
          <w:sz w:val="32"/>
          <w:szCs w:val="30"/>
          <w:highlight w:val="none"/>
          <w:lang w:val="en-US" w:eastAsia="zh-CN"/>
        </w:rPr>
        <w:t>（1）</w:t>
      </w:r>
      <w:r>
        <w:rPr>
          <w:rFonts w:hint="eastAsia" w:ascii="仿宋_GB2312" w:hAnsi="仿宋_GB2312" w:eastAsia="仿宋_GB2312"/>
          <w:sz w:val="32"/>
          <w:szCs w:val="30"/>
          <w:highlight w:val="none"/>
          <w:lang w:val="en-US" w:eastAsia="zh-CN"/>
        </w:rPr>
        <w:t>工程中标通知书（必须提供）。依法可以不进行招标的项目，应提供项目法人或招标代理机构出具的有关中标文件，如直接发包通知书等。</w:t>
      </w:r>
    </w:p>
    <w:p w14:paraId="067F8C06">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textAlignment w:val="auto"/>
        <w:rPr>
          <w:rFonts w:hint="eastAsia" w:ascii="仿宋_GB2312" w:hAnsi="仿宋_GB2312" w:eastAsia="仿宋_GB2312"/>
          <w:sz w:val="32"/>
          <w:szCs w:val="30"/>
          <w:highlight w:val="none"/>
          <w:lang w:val="en-US" w:eastAsia="zh-CN"/>
        </w:rPr>
      </w:pPr>
      <w:r>
        <w:rPr>
          <w:rFonts w:hint="eastAsia" w:ascii="仿宋_GB2312" w:hAnsi="仿宋_GB2312" w:eastAsia="仿宋_GB2312"/>
          <w:b w:val="0"/>
          <w:bCs w:val="0"/>
          <w:sz w:val="32"/>
          <w:szCs w:val="30"/>
          <w:highlight w:val="none"/>
          <w:lang w:val="en-US" w:eastAsia="zh-CN"/>
        </w:rPr>
        <w:t>（2）</w:t>
      </w:r>
      <w:r>
        <w:rPr>
          <w:rFonts w:hint="eastAsia" w:ascii="仿宋_GB2312" w:hAnsi="仿宋_GB2312" w:eastAsia="仿宋_GB2312"/>
          <w:sz w:val="32"/>
          <w:szCs w:val="30"/>
          <w:highlight w:val="none"/>
          <w:lang w:val="en-US" w:eastAsia="zh-CN"/>
        </w:rPr>
        <w:t>工程承包合同（必须提供）。应提供合同协议书和专用条款，能反映合同的基本组成要素（甲乙方的基本信息、基本约定、双方签章等）、主体内容及技术指标的部分主要内容。合同通用条款不需要提供。除施工联合体以外，以联合体形式中标的项目，应提供联合体协议书和能证明本企业实际承担施工内容的其他材料。</w:t>
      </w:r>
    </w:p>
    <w:p w14:paraId="4D17D127">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textAlignment w:val="auto"/>
        <w:rPr>
          <w:rFonts w:hint="eastAsia" w:ascii="仿宋_GB2312" w:hAnsi="仿宋_GB2312" w:eastAsia="仿宋_GB2312"/>
          <w:sz w:val="32"/>
          <w:szCs w:val="30"/>
          <w:highlight w:val="none"/>
          <w:lang w:val="en-US" w:eastAsia="zh-CN"/>
        </w:rPr>
      </w:pPr>
      <w:r>
        <w:rPr>
          <w:rFonts w:hint="eastAsia" w:ascii="仿宋_GB2312" w:hAnsi="仿宋_GB2312" w:eastAsia="仿宋_GB2312"/>
          <w:sz w:val="32"/>
          <w:szCs w:val="30"/>
          <w:highlight w:val="none"/>
          <w:lang w:val="en-US" w:eastAsia="zh-CN"/>
        </w:rPr>
        <w:t>（3）合同工程完工或竣工验收鉴定书（必须提供）。</w:t>
      </w:r>
    </w:p>
    <w:p w14:paraId="756B245A">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（4）相应时间段内工程量统计表和进度款结算审批表（年完成工程量类业绩应提供）。</w:t>
      </w:r>
    </w:p>
    <w:p w14:paraId="5FF4C8F7">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（5）工程结算单（单项合同额类业绩应提供）、</w:t>
      </w:r>
    </w:p>
    <w:p w14:paraId="3D4A4BC6">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default"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（6）驻外使领馆经商部门出具的工程业绩真实性证明文件（境外工程应提供）。申报材料必须使用中文，材料原文是其它文字的，须同时附翻译准确的中文译本。</w:t>
      </w:r>
    </w:p>
    <w:p w14:paraId="0D0F816B">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sz w:val="32"/>
          <w:szCs w:val="30"/>
          <w:highlight w:val="none"/>
          <w:lang w:val="en-US" w:eastAsia="zh-CN"/>
        </w:rPr>
      </w:pPr>
      <w:r>
        <w:rPr>
          <w:rFonts w:hint="eastAsia" w:ascii="仿宋_GB2312" w:hAnsi="仿宋_GB2312" w:eastAsia="仿宋_GB2312"/>
          <w:b w:val="0"/>
          <w:bCs w:val="0"/>
          <w:sz w:val="32"/>
          <w:szCs w:val="30"/>
          <w:highlight w:val="none"/>
          <w:lang w:val="en-US" w:eastAsia="zh-CN"/>
        </w:rPr>
        <w:t>（7）</w:t>
      </w:r>
      <w:r>
        <w:rPr>
          <w:rFonts w:hint="eastAsia" w:ascii="仿宋_GB2312" w:hAnsi="仿宋_GB2312" w:eastAsia="仿宋_GB2312"/>
          <w:sz w:val="32"/>
          <w:szCs w:val="30"/>
          <w:highlight w:val="none"/>
          <w:lang w:val="en-US" w:eastAsia="zh-CN"/>
        </w:rPr>
        <w:t>提供代表工程业绩图纸的应满足以下要求：提供的图纸能清楚有效反映代表工程业绩的技术指标；工程图纸至少应含图签、设计单位出图章，有些图纸按照相关要求还应包含注册人员签章等；图签中的工程项目名称、图纸名称、设计人员签字、出图时间、出图版本应是齐全、有效的；设计单位出图章和注册人员签章的编号应该一致；注册人员签章应按其专业签盖在相应专业图纸上；设计单位出图章和注册人员签章、印签章的有效期与图纸的出图时间均应符合相应逻辑关系。</w:t>
      </w:r>
    </w:p>
    <w:p w14:paraId="278A27B3">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default"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2.审查标准</w:t>
      </w:r>
    </w:p>
    <w:p w14:paraId="61F67235">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每项工程业绩应满足《建筑业企业资质标准》等相关要求，根据项目设计批复文件、设计图纸、招标公告、中标通知书、承包合同、验收鉴定书以及政府网站信息、业绩核查、举报投诉情况等综合判定。</w:t>
      </w:r>
    </w:p>
    <w:p w14:paraId="0770C293">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1）水库、水电站大坝类和水闸类业绩包含新建、改扩建和除险加固项目，应为大坝坝体、水闸闸室等主体工程施工。承包内容仅包含大坝护坡、坝顶路面、水土保持、绿化等的工程业绩，不能作为水库、水电站大坝类代表工程业绩。橡胶坝业绩和承包内容仅包含金属结构、机电设备安装的水闸业绩不能作为水闸类代表工程业绩。过闸流量指标等符合资质标准要求的翻板闸或钢坝闸工程可作为水闸类工程业绩。</w:t>
      </w:r>
    </w:p>
    <w:p w14:paraId="5C40C0F3">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（2）水电站、泵站类业绩包含新建和更新改造项目，应为主体工程施工。</w:t>
      </w:r>
    </w:p>
    <w:p w14:paraId="2F4C106B">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（3）改扩建、更新改造、除险加固类工程业绩应能全面反映企业进行水库、水电站大坝，水闸，水电站或泵站等相应工程施工的综合能力。</w:t>
      </w:r>
    </w:p>
    <w:p w14:paraId="4945E41D">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（4）水工隧洞洞径（或面积）按照过水断面计算，衬砌的按照衬砌后内径计算，不衬砌的按照设计洞径计算。</w:t>
      </w:r>
    </w:p>
    <w:p w14:paraId="3A7A6E4F">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（5）水工混凝土浇筑、坝体土石方填筑、岩基灌浆、防渗墙等工程量类业绩的年完成指企业在连续十二个月内完成。其中，坝体土石方填筑量业绩包括水库、水电站大坝和碾压筑堤的土石方填筑工程量。</w:t>
      </w:r>
    </w:p>
    <w:p w14:paraId="76B2A9A7">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6）合同额类业绩的单项合同额是指一个承包合同所载合同价。以承包合同价为准，工程结算单作为工程完成且工程款已到位的验证；承包合同未载明合同价的，以工程结算单为准。同一工程项目分期发包，签订多个施工合同的，合同额累计满足合同额指标要求的不能作为有效工程业绩。</w:t>
      </w:r>
    </w:p>
    <w:p w14:paraId="469EB099">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（7）企业超越资质等级许可范围承揽、出借借用资质承揽、转包、违法分包的业绩不能作为有效工程业绩。</w:t>
      </w:r>
    </w:p>
    <w:p w14:paraId="61A0157A">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（8）保密工程不能作为有效工程业绩。</w:t>
      </w:r>
    </w:p>
    <w:p w14:paraId="006EA7CF">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（9）企业因该工程质量、生产安全事故被降级、吊销、撤销资质、停业整顿，或因该工程业绩弄虚作假申报资质被通报批评或撤销资质的，相应业绩不能作为有效工程业绩。</w:t>
      </w:r>
    </w:p>
    <w:p w14:paraId="61631877">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（10）高标准农田建设项目中的灌溉与排水工程可以作为有效工程业绩，但项目总体不能作为有效的合同额类工程业绩。</w:t>
      </w:r>
    </w:p>
    <w:p w14:paraId="09783BC5">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（11）申报企业提供的业绩信息与全国水利建设市场监管平台、全国建筑市场监管公共服务平台信息不一致的不能作为有效工程业绩（经发函核实过的业绩除外）。</w:t>
      </w:r>
    </w:p>
    <w:p w14:paraId="7DEE8B1E">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12）工程业绩要求的“近10年”是指自申请资质年度起逆推10年期间竣工（合同工程完工）验收合格的工程业绩。如申报年度为2026年，“近10年”的业绩是指2016年1月1日之后竣工（合同工程完工）验收合格的工程项目。超过此时限的工程业绩不能作为有效工程业绩。</w:t>
      </w:r>
    </w:p>
    <w:p w14:paraId="6FB7B35E">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（13）技术负责人主持完成的业绩是指作为项目经理或项目技术负责人主持并完成的工程项目，其业绩时间不受限制。存在违反有关规定同时在两个及以上项目担任项目负责人的工程业绩不能作为有效工程业绩。</w:t>
      </w:r>
    </w:p>
    <w:p w14:paraId="5241236B">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default" w:ascii="仿宋_GB2312" w:hAnsi="仿宋_GB2312" w:eastAsia="仿宋_GB2312"/>
          <w:b w:val="0"/>
          <w:bCs w:val="0"/>
          <w:sz w:val="32"/>
          <w:szCs w:val="30"/>
          <w:highlight w:val="none"/>
          <w:lang w:val="en-US" w:eastAsia="zh-CN"/>
        </w:rPr>
      </w:pPr>
      <w:r>
        <w:rPr>
          <w:rFonts w:hint="eastAsia" w:ascii="仿宋_GB2312" w:hAnsi="仿宋_GB2312" w:eastAsia="仿宋_GB2312"/>
          <w:b w:val="0"/>
          <w:bCs w:val="0"/>
          <w:sz w:val="32"/>
          <w:szCs w:val="30"/>
          <w:highlight w:val="none"/>
          <w:lang w:val="en-US" w:eastAsia="zh-CN"/>
        </w:rPr>
        <w:t>（14）合法的专业分包业绩，可以作为有效工程业绩，但分包合同内容必须体现为专业工程合法分包，劳务分包不予认可。</w:t>
      </w:r>
    </w:p>
    <w:p w14:paraId="2C1C1EB0">
      <w:pPr>
        <w:keepNext w:val="0"/>
        <w:keepLines w:val="0"/>
        <w:pageBreakBefore w:val="0"/>
        <w:widowControl w:val="0"/>
        <w:numPr>
          <w:ilvl w:val="0"/>
          <w:numId w:val="0"/>
        </w:numPr>
        <w:kinsoku/>
        <w:wordWrap/>
        <w:overflowPunct/>
        <w:topLinePunct w:val="0"/>
        <w:autoSpaceDE/>
        <w:autoSpaceDN/>
        <w:bidi w:val="0"/>
        <w:adjustRightInd/>
        <w:spacing w:line="560" w:lineRule="exact"/>
        <w:ind w:firstLine="641"/>
        <w:textAlignment w:val="auto"/>
        <w:rPr>
          <w:rFonts w:hint="eastAsia" w:ascii="仿宋_GB2312" w:hAnsi="仿宋_GB2312" w:eastAsia="仿宋_GB2312"/>
          <w:b w:val="0"/>
          <w:bCs w:val="0"/>
          <w:sz w:val="32"/>
          <w:szCs w:val="30"/>
          <w:highlight w:val="none"/>
          <w:lang w:val="en-US" w:eastAsia="zh-CN"/>
        </w:rPr>
      </w:pPr>
      <w:r>
        <w:rPr>
          <w:rFonts w:hint="eastAsia" w:ascii="仿宋_GB2312" w:hAnsi="仿宋_GB2312" w:eastAsia="仿宋_GB2312" w:cs="仿宋_GB2312"/>
          <w:i w:val="0"/>
          <w:caps w:val="0"/>
          <w:color w:val="333333"/>
          <w:spacing w:val="0"/>
          <w:sz w:val="32"/>
          <w:szCs w:val="32"/>
          <w:highlight w:val="none"/>
          <w:shd w:val="clear" w:color="auto" w:fill="FFFFFF"/>
          <w:lang w:val="en-US" w:eastAsia="zh-CN"/>
        </w:rPr>
        <w:t>（15）</w:t>
      </w:r>
      <w:r>
        <w:rPr>
          <w:rFonts w:hint="eastAsia" w:ascii="仿宋_GB2312" w:hAnsi="仿宋_GB2312" w:eastAsia="仿宋_GB2312"/>
          <w:b w:val="0"/>
          <w:bCs w:val="0"/>
          <w:sz w:val="32"/>
          <w:szCs w:val="30"/>
          <w:highlight w:val="none"/>
          <w:lang w:val="en-US" w:eastAsia="zh-CN"/>
        </w:rPr>
        <w:t>业绩是一项单位工程，无论满足多少项技术指标，只能作为一项业绩申报。由多个单位工程组成的单项工程，每一单位工程分别满足不同的技术指标的，该单项工程可以作为多项业绩申报。</w:t>
      </w:r>
    </w:p>
    <w:p w14:paraId="07CA06F2">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i w:val="0"/>
          <w:caps w:val="0"/>
          <w:color w:val="333333"/>
          <w:spacing w:val="0"/>
          <w:sz w:val="32"/>
          <w:szCs w:val="32"/>
          <w:highlight w:val="none"/>
          <w:shd w:val="clear" w:color="auto" w:fill="FFFFFF"/>
          <w:lang w:val="en-US" w:eastAsia="zh-CN"/>
        </w:rPr>
      </w:pPr>
      <w:r>
        <w:rPr>
          <w:rFonts w:hint="eastAsia" w:ascii="楷体_GB2312" w:hAnsi="楷体_GB2312" w:eastAsia="楷体_GB2312" w:cs="楷体_GB2312"/>
          <w:b/>
          <w:bCs/>
          <w:i w:val="0"/>
          <w:caps w:val="0"/>
          <w:spacing w:val="0"/>
          <w:sz w:val="32"/>
          <w:szCs w:val="30"/>
          <w:highlight w:val="none"/>
          <w:shd w:val="clear" w:color="auto" w:fill="auto"/>
          <w:lang w:eastAsia="zh-CN"/>
        </w:rPr>
        <w:t>（</w:t>
      </w:r>
      <w:r>
        <w:rPr>
          <w:rFonts w:hint="eastAsia" w:ascii="楷体_GB2312" w:hAnsi="楷体_GB2312" w:eastAsia="楷体_GB2312" w:cs="楷体_GB2312"/>
          <w:b/>
          <w:bCs/>
          <w:i w:val="0"/>
          <w:caps w:val="0"/>
          <w:spacing w:val="0"/>
          <w:sz w:val="32"/>
          <w:szCs w:val="30"/>
          <w:highlight w:val="none"/>
          <w:shd w:val="clear" w:color="auto" w:fill="auto"/>
          <w:lang w:val="en-US" w:eastAsia="zh-CN"/>
        </w:rPr>
        <w:t>四</w:t>
      </w:r>
      <w:r>
        <w:rPr>
          <w:rFonts w:hint="eastAsia" w:ascii="楷体_GB2312" w:hAnsi="楷体_GB2312" w:eastAsia="楷体_GB2312" w:cs="楷体_GB2312"/>
          <w:b/>
          <w:bCs/>
          <w:i w:val="0"/>
          <w:caps w:val="0"/>
          <w:spacing w:val="0"/>
          <w:sz w:val="32"/>
          <w:szCs w:val="30"/>
          <w:highlight w:val="none"/>
          <w:shd w:val="clear" w:color="auto" w:fill="auto"/>
          <w:lang w:eastAsia="zh-CN"/>
        </w:rPr>
        <w:t>）</w:t>
      </w:r>
      <w:r>
        <w:rPr>
          <w:rFonts w:hint="eastAsia" w:ascii="楷体_GB2312" w:hAnsi="楷体_GB2312" w:eastAsia="楷体_GB2312" w:cs="楷体_GB2312"/>
          <w:b/>
          <w:bCs/>
          <w:i w:val="0"/>
          <w:caps w:val="0"/>
          <w:spacing w:val="0"/>
          <w:sz w:val="32"/>
          <w:szCs w:val="30"/>
          <w:highlight w:val="none"/>
          <w:shd w:val="clear" w:color="auto" w:fill="auto"/>
        </w:rPr>
        <w:t>技术装备</w:t>
      </w:r>
      <w:r>
        <w:rPr>
          <w:rFonts w:hint="eastAsia" w:ascii="楷体_GB2312" w:hAnsi="楷体_GB2312" w:eastAsia="楷体_GB2312" w:cs="楷体_GB2312"/>
          <w:b/>
          <w:bCs/>
          <w:i w:val="0"/>
          <w:caps w:val="0"/>
          <w:spacing w:val="0"/>
          <w:sz w:val="32"/>
          <w:szCs w:val="30"/>
          <w:highlight w:val="none"/>
          <w:shd w:val="clear" w:color="auto" w:fill="auto"/>
        </w:rPr>
        <w:br w:type="textWrapping"/>
      </w:r>
      <w:r>
        <w:rPr>
          <w:rFonts w:hint="eastAsia" w:ascii="仿宋_GB2312" w:hAnsi="仿宋_GB2312" w:eastAsia="仿宋_GB2312" w:cs="仿宋_GB2312"/>
          <w:i w:val="0"/>
          <w:caps w:val="0"/>
          <w:color w:val="333333"/>
          <w:spacing w:val="0"/>
          <w:sz w:val="32"/>
          <w:szCs w:val="32"/>
          <w:highlight w:val="none"/>
          <w:shd w:val="clear" w:color="auto" w:fill="FFFFFF"/>
          <w:lang w:val="en-US" w:eastAsia="zh-CN"/>
        </w:rPr>
        <w:t xml:space="preserve">    1.证明材料</w:t>
      </w:r>
    </w:p>
    <w:p w14:paraId="6309DBD0">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i w:val="0"/>
          <w:caps w:val="0"/>
          <w:color w:val="333333"/>
          <w:spacing w:val="0"/>
          <w:sz w:val="32"/>
          <w:szCs w:val="32"/>
          <w:highlight w:val="none"/>
          <w:shd w:val="clear" w:color="auto" w:fill="FFFFFF"/>
          <w:lang w:eastAsia="zh-CN"/>
        </w:rPr>
      </w:pPr>
      <w:r>
        <w:rPr>
          <w:rFonts w:hint="eastAsia" w:ascii="仿宋_GB2312" w:hAnsi="仿宋_GB2312" w:eastAsia="仿宋_GB2312" w:cs="仿宋_GB2312"/>
          <w:i w:val="0"/>
          <w:caps w:val="0"/>
          <w:color w:val="333333"/>
          <w:spacing w:val="0"/>
          <w:sz w:val="32"/>
          <w:szCs w:val="32"/>
          <w:highlight w:val="none"/>
          <w:shd w:val="clear" w:color="auto" w:fill="FFFFFF"/>
        </w:rPr>
        <w:t>企业设备购置发票</w:t>
      </w:r>
      <w:r>
        <w:rPr>
          <w:rFonts w:hint="eastAsia" w:ascii="仿宋_GB2312" w:hAnsi="仿宋_GB2312" w:eastAsia="仿宋_GB2312" w:cs="仿宋_GB2312"/>
          <w:i w:val="0"/>
          <w:caps w:val="0"/>
          <w:color w:val="333333"/>
          <w:spacing w:val="0"/>
          <w:sz w:val="32"/>
          <w:szCs w:val="32"/>
          <w:highlight w:val="none"/>
          <w:shd w:val="clear" w:color="auto" w:fill="FFFFFF"/>
          <w:lang w:val="en-US" w:eastAsia="zh-CN"/>
        </w:rPr>
        <w:t>或</w:t>
      </w:r>
      <w:r>
        <w:rPr>
          <w:rFonts w:hint="eastAsia" w:ascii="仿宋_GB2312" w:hAnsi="仿宋_GB2312" w:eastAsia="仿宋_GB2312" w:cs="仿宋_GB2312"/>
          <w:i w:val="0"/>
          <w:caps w:val="0"/>
          <w:color w:val="333333"/>
          <w:spacing w:val="0"/>
          <w:sz w:val="32"/>
          <w:szCs w:val="32"/>
          <w:highlight w:val="none"/>
          <w:shd w:val="clear" w:color="auto" w:fill="FFFFFF"/>
        </w:rPr>
        <w:t>上级单位划拨</w:t>
      </w:r>
      <w:r>
        <w:rPr>
          <w:rFonts w:hint="eastAsia" w:ascii="仿宋_GB2312" w:hAnsi="仿宋_GB2312" w:eastAsia="仿宋_GB2312" w:cs="仿宋_GB2312"/>
          <w:i w:val="0"/>
          <w:caps w:val="0"/>
          <w:color w:val="333333"/>
          <w:spacing w:val="0"/>
          <w:sz w:val="32"/>
          <w:szCs w:val="32"/>
          <w:highlight w:val="none"/>
          <w:shd w:val="clear" w:color="auto" w:fill="FFFFFF"/>
          <w:lang w:eastAsia="zh-CN"/>
        </w:rPr>
        <w:t>、</w:t>
      </w:r>
      <w:r>
        <w:rPr>
          <w:rFonts w:hint="eastAsia" w:ascii="仿宋_GB2312" w:hAnsi="仿宋_GB2312" w:eastAsia="仿宋_GB2312" w:cs="仿宋_GB2312"/>
          <w:i w:val="0"/>
          <w:caps w:val="0"/>
          <w:color w:val="333333"/>
          <w:spacing w:val="0"/>
          <w:sz w:val="32"/>
          <w:szCs w:val="32"/>
          <w:highlight w:val="none"/>
          <w:shd w:val="clear" w:color="auto" w:fill="FFFFFF"/>
        </w:rPr>
        <w:t>分割证明</w:t>
      </w:r>
      <w:r>
        <w:rPr>
          <w:rFonts w:hint="eastAsia" w:ascii="仿宋_GB2312" w:hAnsi="仿宋_GB2312" w:eastAsia="仿宋_GB2312" w:cs="仿宋_GB2312"/>
          <w:i w:val="0"/>
          <w:caps w:val="0"/>
          <w:color w:val="333333"/>
          <w:spacing w:val="0"/>
          <w:sz w:val="32"/>
          <w:szCs w:val="32"/>
          <w:highlight w:val="none"/>
          <w:shd w:val="clear" w:color="auto" w:fill="FFFFFF"/>
          <w:lang w:eastAsia="zh-CN"/>
        </w:rPr>
        <w:t>。标准中对设备的规格、性能、数量有要求的，发票上不能体现的，企业应延伸提供相关证明材料，如设备使用说明书等。</w:t>
      </w:r>
    </w:p>
    <w:p w14:paraId="6CAAEDD9">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i w:val="0"/>
          <w:caps w:val="0"/>
          <w:color w:val="333333"/>
          <w:spacing w:val="0"/>
          <w:sz w:val="32"/>
          <w:szCs w:val="32"/>
          <w:highlight w:val="none"/>
          <w:shd w:val="clear" w:color="auto" w:fill="FFFFFF"/>
          <w:lang w:val="en-US" w:eastAsia="zh-CN"/>
        </w:rPr>
      </w:pPr>
      <w:r>
        <w:rPr>
          <w:rFonts w:hint="eastAsia" w:ascii="仿宋_GB2312" w:hAnsi="仿宋_GB2312" w:eastAsia="仿宋_GB2312" w:cs="仿宋_GB2312"/>
          <w:i w:val="0"/>
          <w:caps w:val="0"/>
          <w:color w:val="333333"/>
          <w:spacing w:val="0"/>
          <w:sz w:val="32"/>
          <w:szCs w:val="32"/>
          <w:highlight w:val="none"/>
          <w:shd w:val="clear" w:color="auto" w:fill="FFFFFF"/>
          <w:lang w:val="en-US" w:eastAsia="zh-CN"/>
        </w:rPr>
        <w:t>2.审查标准</w:t>
      </w:r>
    </w:p>
    <w:p w14:paraId="4B358A43">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default" w:ascii="仿宋_GB2312" w:hAnsi="仿宋_GB2312" w:eastAsia="仿宋_GB2312"/>
          <w:sz w:val="32"/>
          <w:szCs w:val="30"/>
          <w:highlight w:val="none"/>
          <w:lang w:val="en-US" w:eastAsia="zh-CN"/>
        </w:rPr>
      </w:pPr>
      <w:r>
        <w:rPr>
          <w:rFonts w:hint="eastAsia" w:ascii="仿宋_GB2312" w:hAnsi="仿宋_GB2312" w:eastAsia="仿宋_GB2312" w:cs="仿宋_GB2312"/>
          <w:i w:val="0"/>
          <w:caps w:val="0"/>
          <w:color w:val="333333"/>
          <w:spacing w:val="0"/>
          <w:sz w:val="32"/>
          <w:szCs w:val="32"/>
          <w:highlight w:val="none"/>
          <w:shd w:val="clear" w:color="auto" w:fill="FFFFFF"/>
        </w:rPr>
        <w:t>应为企业自有设备</w:t>
      </w:r>
      <w:r>
        <w:rPr>
          <w:rFonts w:hint="eastAsia" w:ascii="仿宋_GB2312" w:hAnsi="仿宋_GB2312" w:eastAsia="仿宋_GB2312" w:cs="仿宋_GB2312"/>
          <w:i w:val="0"/>
          <w:caps w:val="0"/>
          <w:color w:val="333333"/>
          <w:spacing w:val="0"/>
          <w:sz w:val="32"/>
          <w:szCs w:val="32"/>
          <w:highlight w:val="none"/>
          <w:shd w:val="clear" w:color="auto" w:fill="FFFFFF"/>
          <w:lang w:eastAsia="zh-CN"/>
        </w:rPr>
        <w:t>，相关技术参数符合资质要求。</w:t>
      </w:r>
    </w:p>
    <w:p w14:paraId="343DF354">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0"/>
          <w:highlight w:val="none"/>
          <w:lang w:val="en-US" w:eastAsia="zh-CN"/>
        </w:rPr>
        <w:t>四、</w:t>
      </w:r>
      <w:r>
        <w:rPr>
          <w:rFonts w:hint="eastAsia" w:ascii="黑体" w:hAnsi="黑体" w:eastAsia="黑体" w:cs="黑体"/>
          <w:sz w:val="32"/>
          <w:szCs w:val="32"/>
          <w:highlight w:val="none"/>
          <w:lang w:eastAsia="zh-CN"/>
        </w:rPr>
        <w:t>档案管理</w:t>
      </w:r>
    </w:p>
    <w:p w14:paraId="1D51C17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 w:hAnsi="仿宋" w:eastAsia="仿宋" w:cs="仿宋"/>
          <w:sz w:val="32"/>
          <w:szCs w:val="32"/>
          <w:highlight w:val="none"/>
          <w:lang w:val="en-US" w:eastAsia="zh-CN"/>
        </w:rPr>
        <w:t>省水利厅按审查批次对审查期间形成材料进行归档管理，保</w:t>
      </w:r>
      <w:r>
        <w:rPr>
          <w:rFonts w:hint="eastAsia" w:ascii="仿宋_GB2312" w:hAnsi="仿宋_GB2312" w:eastAsia="仿宋_GB2312" w:cs="仿宋_GB2312"/>
          <w:sz w:val="32"/>
          <w:szCs w:val="32"/>
          <w:highlight w:val="none"/>
          <w:lang w:val="en-US" w:eastAsia="zh-CN"/>
        </w:rPr>
        <w:t>存期限为5年，</w:t>
      </w:r>
      <w:r>
        <w:rPr>
          <w:rFonts w:hint="eastAsia" w:ascii="仿宋_GB2312" w:hAnsi="仿宋_GB2312" w:eastAsia="仿宋_GB2312" w:cs="仿宋_GB2312"/>
          <w:b w:val="0"/>
          <w:bCs w:val="0"/>
          <w:sz w:val="32"/>
          <w:szCs w:val="32"/>
          <w:highlight w:val="none"/>
          <w:lang w:val="en-US" w:eastAsia="zh-CN"/>
        </w:rPr>
        <w:t>归档材料范围包括：专家审查意见、会议审查记录、行业审查意见文书、陈述材料及复核意见等（模板见附件2）。</w:t>
      </w:r>
    </w:p>
    <w:p w14:paraId="5A53FDF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 w:hAnsi="仿宋" w:eastAsia="仿宋" w:cs="仿宋"/>
          <w:sz w:val="32"/>
          <w:szCs w:val="32"/>
          <w:highlight w:val="none"/>
          <w:lang w:val="en-US" w:eastAsia="zh-CN"/>
        </w:rPr>
      </w:pPr>
      <w:bookmarkStart w:id="1" w:name="auto_fouce_16"/>
      <w:r>
        <w:rPr>
          <w:rFonts w:hint="eastAsia" w:ascii="仿宋_GB2312" w:hAnsi="仿宋_GB2312" w:eastAsia="仿宋_GB2312" w:cs="仿宋_GB2312"/>
          <w:b w:val="0"/>
          <w:bCs w:val="0"/>
          <w:sz w:val="32"/>
          <w:szCs w:val="32"/>
          <w:highlight w:val="none"/>
          <w:lang w:val="en-US" w:eastAsia="zh-CN"/>
        </w:rPr>
        <w:t>归档工作由专人负责，档案保存期限从行业审查意见文书反馈省住建厅之日起计算。档案保管按照省水利厅档案管理相关规定执行。</w:t>
      </w:r>
      <w:bookmarkEnd w:id="1"/>
    </w:p>
    <w:p w14:paraId="20086848">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五、其他事项</w:t>
      </w:r>
    </w:p>
    <w:p w14:paraId="02A94687">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w:t>
      </w:r>
      <w:bookmarkStart w:id="2" w:name="auto_fouce_17"/>
      <w:r>
        <w:rPr>
          <w:rFonts w:hint="eastAsia" w:ascii="仿宋_GB2312" w:hAnsi="仿宋_GB2312" w:eastAsia="仿宋_GB2312" w:cs="仿宋_GB2312"/>
          <w:color w:val="auto"/>
          <w:sz w:val="32"/>
          <w:szCs w:val="32"/>
          <w:highlight w:val="none"/>
          <w:lang w:val="en-US" w:eastAsia="zh-CN"/>
        </w:rPr>
        <w:t>企业可以通过省水利厅网站“公众咨询”栏目或拨打咨询电话（024-62181468）进行政策咨询。</w:t>
      </w:r>
    </w:p>
    <w:bookmarkEnd w:id="2"/>
    <w:p w14:paraId="5CD56C6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firstLine="632"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2.厅建管处</w:t>
      </w:r>
      <w:r>
        <w:rPr>
          <w:rFonts w:hint="eastAsia" w:ascii="仿宋_GB2312" w:hAnsi="仿宋_GB2312" w:cs="仿宋_GB2312"/>
          <w:color w:val="auto"/>
          <w:sz w:val="32"/>
          <w:szCs w:val="32"/>
          <w:highlight w:val="none"/>
          <w:lang w:val="en-US" w:eastAsia="zh-CN"/>
        </w:rPr>
        <w:t>工作人员</w:t>
      </w:r>
      <w:r>
        <w:rPr>
          <w:rFonts w:hint="eastAsia" w:ascii="仿宋_GB2312" w:hAnsi="仿宋_GB2312" w:eastAsia="仿宋_GB2312" w:cs="仿宋_GB2312"/>
          <w:b w:val="0"/>
          <w:bCs w:val="0"/>
          <w:sz w:val="32"/>
          <w:szCs w:val="32"/>
          <w:highlight w:val="none"/>
          <w:lang w:val="en-US" w:eastAsia="zh-CN"/>
        </w:rPr>
        <w:t>和审查专家在审查工作期间，应当对企业申报材料、审查过程、审查意见严格保密，不得向外界泄露。</w:t>
      </w:r>
    </w:p>
    <w:p w14:paraId="61BF7B7D">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3.申报企业对审查意见有异议，可在公示期内向省住建厅进行陈述，相关要求详见省住建厅网站发布的《建筑业企业资质申报常见问题》（网址：</w:t>
      </w:r>
      <w:r>
        <w:rPr>
          <w:rFonts w:hint="eastAsia" w:ascii="仿宋_GB2312" w:hAnsi="仿宋_GB2312" w:eastAsia="仿宋_GB2312" w:cs="仿宋_GB2312"/>
          <w:color w:val="auto"/>
          <w:sz w:val="32"/>
          <w:szCs w:val="32"/>
          <w:highlight w:val="none"/>
          <w:lang w:val="en-US" w:eastAsia="zh-CN"/>
        </w:rPr>
        <w:fldChar w:fldCharType="begin"/>
      </w:r>
      <w:r>
        <w:rPr>
          <w:rFonts w:hint="eastAsia" w:ascii="仿宋_GB2312" w:hAnsi="仿宋_GB2312" w:eastAsia="仿宋_GB2312" w:cs="仿宋_GB2312"/>
          <w:color w:val="auto"/>
          <w:sz w:val="32"/>
          <w:szCs w:val="32"/>
          <w:highlight w:val="none"/>
          <w:lang w:val="en-US" w:eastAsia="zh-CN"/>
        </w:rPr>
        <w:instrText xml:space="preserve"> HYPERLINK "https://zjt.ln." </w:instrText>
      </w:r>
      <w:r>
        <w:rPr>
          <w:rFonts w:hint="eastAsia" w:ascii="仿宋_GB2312" w:hAnsi="仿宋_GB2312" w:eastAsia="仿宋_GB2312" w:cs="仿宋_GB2312"/>
          <w:color w:val="auto"/>
          <w:sz w:val="32"/>
          <w:szCs w:val="32"/>
          <w:highlight w:val="none"/>
          <w:lang w:val="en-US" w:eastAsia="zh-CN"/>
        </w:rPr>
        <w:fldChar w:fldCharType="separate"/>
      </w:r>
      <w:r>
        <w:rPr>
          <w:rStyle w:val="6"/>
          <w:rFonts w:hint="eastAsia" w:ascii="仿宋_GB2312" w:hAnsi="仿宋_GB2312" w:eastAsia="仿宋_GB2312" w:cs="仿宋_GB2312"/>
          <w:color w:val="auto"/>
          <w:sz w:val="32"/>
          <w:szCs w:val="32"/>
          <w:highlight w:val="none"/>
          <w:u w:val="none"/>
          <w:lang w:val="en-US" w:eastAsia="zh-CN"/>
        </w:rPr>
        <w:t>https://zjt.ln.</w:t>
      </w:r>
      <w:r>
        <w:rPr>
          <w:rFonts w:hint="eastAsia" w:ascii="仿宋_GB2312" w:hAnsi="仿宋_GB2312" w:eastAsia="仿宋_GB2312" w:cs="仿宋_GB2312"/>
          <w:color w:val="auto"/>
          <w:sz w:val="32"/>
          <w:szCs w:val="32"/>
          <w:highlight w:val="none"/>
          <w:lang w:val="en-US" w:eastAsia="zh-CN"/>
        </w:rPr>
        <w:fldChar w:fldCharType="end"/>
      </w:r>
      <w:r>
        <w:rPr>
          <w:rFonts w:hint="eastAsia" w:ascii="仿宋_GB2312" w:hAnsi="仿宋_GB2312" w:eastAsia="仿宋_GB2312" w:cs="仿宋_GB2312"/>
          <w:color w:val="auto"/>
          <w:sz w:val="32"/>
          <w:szCs w:val="32"/>
          <w:highlight w:val="none"/>
          <w:lang w:val="en-US" w:eastAsia="zh-CN"/>
        </w:rPr>
        <w:t>gov.cn/zjt/</w:t>
      </w:r>
    </w:p>
    <w:p w14:paraId="7EE62EE0">
      <w:pPr>
        <w:keepNext w:val="0"/>
        <w:keepLines w:val="0"/>
        <w:pageBreakBefore w:val="0"/>
        <w:widowControl w:val="0"/>
        <w:numPr>
          <w:ilvl w:val="0"/>
          <w:numId w:val="0"/>
        </w:numPr>
        <w:kinsoku/>
        <w:wordWrap/>
        <w:overflowPunct/>
        <w:topLinePunct w:val="0"/>
        <w:autoSpaceDE/>
        <w:autoSpaceDN/>
        <w:bidi w:val="0"/>
        <w:adjustRightInd/>
        <w:spacing w:line="560" w:lineRule="exact"/>
        <w:ind w:firstLine="0"/>
        <w:textAlignment w:val="auto"/>
        <w:rPr>
          <w:rFonts w:hint="eastAsia" w:ascii="仿宋_GB2312" w:hAnsi="仿宋_GB2312" w:eastAsia="仿宋_GB2312" w:cs="仿宋_GB2312"/>
          <w:i w:val="0"/>
          <w:caps w:val="0"/>
          <w:color w:val="auto"/>
          <w:spacing w:val="0"/>
          <w:sz w:val="32"/>
          <w:szCs w:val="32"/>
          <w:highlight w:val="none"/>
          <w:shd w:val="clear" w:color="auto" w:fill="FFFFFF"/>
        </w:rPr>
      </w:pPr>
      <w:r>
        <w:rPr>
          <w:rFonts w:hint="eastAsia" w:ascii="仿宋_GB2312" w:hAnsi="仿宋_GB2312" w:eastAsia="仿宋_GB2312" w:cs="仿宋_GB2312"/>
          <w:color w:val="auto"/>
          <w:sz w:val="32"/>
          <w:szCs w:val="32"/>
          <w:highlight w:val="none"/>
          <w:lang w:val="en-US" w:eastAsia="zh-CN"/>
        </w:rPr>
        <w:t>tfwj/cswj/2024082315334938788/index.shtml</w:t>
      </w:r>
      <w:r>
        <w:rPr>
          <w:rFonts w:hint="eastAsia" w:ascii="仿宋_GB2312" w:hAnsi="仿宋_GB2312" w:cs="仿宋_GB2312"/>
          <w:color w:val="auto"/>
          <w:sz w:val="32"/>
          <w:szCs w:val="32"/>
          <w:highlight w:val="none"/>
          <w:lang w:val="en-US" w:eastAsia="zh-CN"/>
        </w:rPr>
        <w:t>）</w:t>
      </w:r>
    </w:p>
    <w:p w14:paraId="1D0FE773">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textAlignment w:val="auto"/>
        <w:rPr>
          <w:rFonts w:hint="eastAsia" w:ascii="仿宋_GB2312" w:hAnsi="仿宋_GB2312" w:eastAsia="仿宋_GB2312" w:cs="仿宋_GB2312"/>
          <w:i w:val="0"/>
          <w:caps w:val="0"/>
          <w:color w:val="auto"/>
          <w:spacing w:val="0"/>
          <w:sz w:val="32"/>
          <w:szCs w:val="32"/>
          <w:highlight w:val="none"/>
          <w:shd w:val="clear" w:color="auto" w:fill="FFFFFF"/>
          <w:lang w:val="en-US" w:eastAsia="zh-CN"/>
        </w:rPr>
      </w:pPr>
    </w:p>
    <w:p w14:paraId="75129DCA">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textAlignment w:val="auto"/>
        <w:rPr>
          <w:rFonts w:hint="eastAsia" w:ascii="仿宋_GB2312" w:hAnsi="仿宋_GB2312" w:eastAsia="仿宋_GB2312" w:cs="仿宋_GB2312"/>
          <w:i w:val="0"/>
          <w:caps w:val="0"/>
          <w:color w:val="auto"/>
          <w:spacing w:val="0"/>
          <w:sz w:val="32"/>
          <w:szCs w:val="32"/>
          <w:highlight w:val="none"/>
          <w:shd w:val="clear" w:color="auto" w:fill="FFFFFF"/>
          <w:lang w:val="en-US" w:eastAsia="zh-CN"/>
        </w:rPr>
      </w:pP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附件：1.辽宁省水利水电工程施工资质行业审查依据</w:t>
      </w:r>
    </w:p>
    <w:p w14:paraId="178B71FB">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textAlignment w:val="auto"/>
        <w:rPr>
          <w:rFonts w:hint="eastAsia" w:ascii="仿宋_GB2312" w:hAnsi="Calibri" w:eastAsia="仿宋_GB2312" w:cs="仿宋_GB2312"/>
          <w:i w:val="0"/>
          <w:caps w:val="0"/>
          <w:color w:val="000000"/>
          <w:spacing w:val="0"/>
          <w:sz w:val="32"/>
          <w:szCs w:val="32"/>
          <w:highlight w:val="none"/>
          <w:shd w:val="clear" w:color="auto" w:fill="FFFFFF"/>
          <w:lang w:val="en-US" w:eastAsia="zh-CN"/>
        </w:rPr>
      </w:pP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 xml:space="preserve">      2.归档材料模板</w:t>
      </w:r>
    </w:p>
    <w:p w14:paraId="46FFE98B">
      <w:pPr>
        <w:keepNext w:val="0"/>
        <w:keepLines w:val="0"/>
        <w:pageBreakBefore w:val="0"/>
        <w:widowControl w:val="0"/>
        <w:numPr>
          <w:ilvl w:val="0"/>
          <w:numId w:val="0"/>
        </w:numPr>
        <w:kinsoku/>
        <w:wordWrap/>
        <w:overflowPunct/>
        <w:topLinePunct w:val="0"/>
        <w:autoSpaceDE/>
        <w:autoSpaceDN/>
        <w:bidi w:val="0"/>
        <w:adjustRightInd/>
        <w:spacing w:line="560" w:lineRule="exact"/>
        <w:textAlignment w:val="auto"/>
        <w:rPr>
          <w:rFonts w:hint="eastAsia" w:ascii="仿宋_GB2312" w:hAnsi="Calibri" w:eastAsia="仿宋_GB2312" w:cs="仿宋_GB2312"/>
          <w:i w:val="0"/>
          <w:caps w:val="0"/>
          <w:color w:val="000000"/>
          <w:spacing w:val="0"/>
          <w:sz w:val="32"/>
          <w:szCs w:val="32"/>
          <w:highlight w:val="none"/>
          <w:shd w:val="clear" w:color="auto" w:fill="FFFFFF"/>
          <w:lang w:val="en-US" w:eastAsia="zh-CN"/>
        </w:rPr>
      </w:pPr>
    </w:p>
    <w:p w14:paraId="7F1381DF">
      <w:pPr>
        <w:keepNext w:val="0"/>
        <w:keepLines w:val="0"/>
        <w:pageBreakBefore w:val="0"/>
        <w:widowControl/>
        <w:numPr>
          <w:ilvl w:val="0"/>
          <w:numId w:val="0"/>
        </w:numPr>
        <w:kinsoku/>
        <w:wordWrap/>
        <w:overflowPunct/>
        <w:topLinePunct w:val="0"/>
        <w:autoSpaceDE/>
        <w:autoSpaceDN/>
        <w:bidi w:val="0"/>
        <w:adjustRightInd/>
        <w:spacing w:line="240" w:lineRule="auto"/>
        <w:textAlignment w:val="auto"/>
        <w:rPr>
          <w:rFonts w:hint="default" w:ascii="黑体" w:hAnsi="黑体" w:eastAsia="黑体" w:cs="黑体"/>
          <w:sz w:val="32"/>
          <w:szCs w:val="32"/>
          <w:highlight w:val="none"/>
          <w:lang w:val="en-US" w:eastAsia="zh-CN"/>
        </w:rPr>
      </w:pPr>
      <w:r>
        <w:rPr>
          <w:rFonts w:hint="eastAsia" w:ascii="仿宋_GB2312" w:hAnsi="Calibri" w:eastAsia="仿宋_GB2312" w:cs="仿宋_GB2312"/>
          <w:i w:val="0"/>
          <w:caps w:val="0"/>
          <w:color w:val="000000"/>
          <w:spacing w:val="0"/>
          <w:sz w:val="32"/>
          <w:szCs w:val="32"/>
          <w:highlight w:val="none"/>
          <w:shd w:val="clear" w:color="auto" w:fill="FFFFFF"/>
          <w:lang w:val="en-US" w:eastAsia="zh-CN"/>
        </w:rPr>
        <w:br w:type="page"/>
      </w:r>
      <w:r>
        <w:rPr>
          <w:rFonts w:hint="eastAsia" w:ascii="黑体" w:hAnsi="黑体" w:eastAsia="黑体" w:cs="黑体"/>
          <w:sz w:val="32"/>
          <w:szCs w:val="32"/>
          <w:highlight w:val="none"/>
          <w:lang w:val="en-US" w:eastAsia="zh-CN"/>
        </w:rPr>
        <w:t>附件1</w:t>
      </w:r>
    </w:p>
    <w:p w14:paraId="45CB68ED">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hint="eastAsia" w:ascii="黑体" w:hAnsi="黑体" w:eastAsia="黑体" w:cs="黑体"/>
          <w:kern w:val="2"/>
          <w:sz w:val="32"/>
          <w:szCs w:val="32"/>
          <w:highlight w:val="none"/>
          <w:lang w:val="en-US" w:eastAsia="zh-CN" w:bidi="ar-SA"/>
        </w:rPr>
      </w:pPr>
    </w:p>
    <w:p w14:paraId="200ED3DA">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highlight w:val="none"/>
          <w:lang w:eastAsia="zh-CN"/>
        </w:rPr>
      </w:pPr>
      <w:r>
        <w:rPr>
          <w:rFonts w:hint="eastAsia" w:ascii="方正小标宋简体" w:hAnsi="方正小标宋简体" w:eastAsia="方正小标宋简体" w:cs="方正小标宋简体"/>
          <w:sz w:val="44"/>
          <w:szCs w:val="44"/>
          <w:highlight w:val="none"/>
          <w:lang w:eastAsia="zh-CN"/>
        </w:rPr>
        <w:t>辽宁省水利</w:t>
      </w:r>
      <w:r>
        <w:rPr>
          <w:rFonts w:hint="eastAsia" w:ascii="方正小标宋简体" w:hAnsi="方正小标宋简体" w:eastAsia="方正小标宋简体" w:cs="方正小标宋简体"/>
          <w:sz w:val="44"/>
          <w:szCs w:val="44"/>
          <w:highlight w:val="none"/>
          <w:lang w:val="en-US" w:eastAsia="zh-CN"/>
        </w:rPr>
        <w:t>水电工程</w:t>
      </w:r>
      <w:r>
        <w:rPr>
          <w:rFonts w:hint="eastAsia" w:ascii="方正小标宋简体" w:hAnsi="方正小标宋简体" w:eastAsia="方正小标宋简体" w:cs="方正小标宋简体"/>
          <w:sz w:val="44"/>
          <w:szCs w:val="44"/>
          <w:highlight w:val="none"/>
          <w:lang w:eastAsia="zh-CN"/>
        </w:rPr>
        <w:t>施工资质</w:t>
      </w:r>
    </w:p>
    <w:p w14:paraId="7DFD3B56">
      <w:pPr>
        <w:keepNext w:val="0"/>
        <w:keepLines w:val="0"/>
        <w:pageBreakBefore w:val="0"/>
        <w:widowControl w:val="0"/>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行业审查依据</w:t>
      </w:r>
    </w:p>
    <w:p w14:paraId="0EC54F70">
      <w:pPr>
        <w:keepNext w:val="0"/>
        <w:keepLines w:val="0"/>
        <w:pageBreakBefore w:val="0"/>
        <w:widowControl w:val="0"/>
        <w:numPr>
          <w:ilvl w:val="0"/>
          <w:numId w:val="0"/>
        </w:numPr>
        <w:kinsoku/>
        <w:wordWrap/>
        <w:overflowPunct/>
        <w:topLinePunct w:val="0"/>
        <w:autoSpaceDE/>
        <w:autoSpaceDN/>
        <w:bidi w:val="0"/>
        <w:adjustRightInd/>
        <w:spacing w:line="560" w:lineRule="exact"/>
        <w:textAlignment w:val="auto"/>
        <w:rPr>
          <w:rFonts w:hint="eastAsia" w:ascii="仿宋_GB2312" w:hAnsi="仿宋_GB2312" w:eastAsia="仿宋_GB2312" w:cs="仿宋_GB2312"/>
          <w:sz w:val="32"/>
          <w:szCs w:val="32"/>
          <w:highlight w:val="none"/>
          <w:lang w:val="en-US" w:eastAsia="zh-CN"/>
        </w:rPr>
      </w:pPr>
    </w:p>
    <w:p w14:paraId="4B629C33">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黑体" w:hAnsi="黑体" w:eastAsia="黑体" w:cs="黑体"/>
          <w:sz w:val="32"/>
          <w:szCs w:val="32"/>
          <w:highlight w:val="none"/>
          <w:lang w:val="en-US" w:eastAsia="zh-CN"/>
        </w:rPr>
        <w:t>一、《关于进一步整顿和规范水利建筑市场秩序的若干意见》（水建管〔2001〕248号）</w:t>
      </w:r>
    </w:p>
    <w:p w14:paraId="4EAF8DB4">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25</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水利施工企业要按新标准重新就位。要按照新的《建筑业企业资质管理规定》和《建筑业企业资质等级标准》，利用一年时间，对全国现有水利施工企业重新就位。所有施工企业，不管其隶属关系和所有制如何，也不管是主营还是兼营，只要申报水利水电工程施工资质，都必须经水行政主管部门初审同意并签署明确意见后，建设行政主管部门才能予以批准、颁发资质证书。</w:t>
      </w:r>
    </w:p>
    <w:p w14:paraId="57AE1A48">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黑体" w:hAnsi="黑体" w:eastAsia="黑体" w:cs="黑体"/>
          <w:spacing w:val="-11"/>
          <w:sz w:val="32"/>
          <w:szCs w:val="32"/>
          <w:highlight w:val="none"/>
          <w:lang w:val="en-US" w:eastAsia="zh-CN"/>
        </w:rPr>
      </w:pPr>
      <w:r>
        <w:rPr>
          <w:rFonts w:hint="eastAsia" w:ascii="黑体" w:hAnsi="黑体" w:eastAsia="黑体" w:cs="黑体"/>
          <w:sz w:val="32"/>
          <w:szCs w:val="32"/>
          <w:highlight w:val="none"/>
          <w:lang w:val="en-US" w:eastAsia="zh-CN"/>
        </w:rPr>
        <w:t>二、</w:t>
      </w:r>
      <w:r>
        <w:rPr>
          <w:rFonts w:hint="eastAsia" w:ascii="黑体" w:hAnsi="黑体" w:eastAsia="黑体" w:cs="黑体"/>
          <w:spacing w:val="-11"/>
          <w:sz w:val="32"/>
          <w:szCs w:val="32"/>
          <w:highlight w:val="none"/>
          <w:lang w:val="en-US" w:eastAsia="zh-CN"/>
        </w:rPr>
        <w:t>《建筑业企业资质管理规定》（住房和城乡建设部令第22号）</w:t>
      </w:r>
    </w:p>
    <w:p w14:paraId="5937ABA4">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第四条  国务院住房城乡建设主管部门负责全国建筑业企业资质的统一监督管理。国务院交通运输、水利、工业信息化等有关部门配合国务院住房城乡建设主管部门实施相关资质类别建筑业企业资质的管理工作。</w:t>
      </w:r>
    </w:p>
    <w:p w14:paraId="366B8F1A">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省、自治区、直辖市人民政府住房城乡建设主管部门负责本行政区域内建筑业企业资质的统一监督管理。省、自治区、直辖市人民政府交通运输、水利、通信等有关部门配合同级住房城乡建设主管部门实施本行政区域内相关资质类别建筑业企业资质的管理工作。</w:t>
      </w:r>
    </w:p>
    <w:p w14:paraId="60710B84">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第十条  下列建筑业企业资质，由企业工商注册所在地省、自治区、直辖市人民政府住房城乡建设主管部门许可：</w:t>
      </w:r>
    </w:p>
    <w:p w14:paraId="35D16839">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（一）施工总承包资质序列二级资质及铁路、通信工程施工总承包三级资质；</w:t>
      </w:r>
    </w:p>
    <w:p w14:paraId="4952B724">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（二）专业承包资质序列一级资质（不含公路、水运、水利、铁路、民航方面的专业承包一级资质及涉及多个专业的专业承包一级资质）；</w:t>
      </w:r>
    </w:p>
    <w:p w14:paraId="2735FF0C">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（三）专业承包资质序列二级资质（不含铁路、民航方面的专业承包二级资质）；铁路方面专业承包三级资质；特种工程专业承包资质。</w:t>
      </w:r>
    </w:p>
    <w:p w14:paraId="6A4A0B5B">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 w:hAnsi="仿宋" w:eastAsia="仿宋" w:cs="仿宋"/>
          <w:sz w:val="32"/>
          <w:szCs w:val="32"/>
          <w:highlight w:val="none"/>
          <w:lang w:eastAsia="zh-CN"/>
        </w:rPr>
      </w:pPr>
      <w:r>
        <w:rPr>
          <w:rFonts w:hint="eastAsia" w:ascii="黑体" w:hAnsi="黑体" w:eastAsia="黑体" w:cs="黑体"/>
          <w:sz w:val="32"/>
          <w:szCs w:val="32"/>
          <w:highlight w:val="none"/>
          <w:lang w:val="en-US" w:eastAsia="zh-CN"/>
        </w:rPr>
        <w:t>三、</w:t>
      </w:r>
      <w:r>
        <w:rPr>
          <w:rFonts w:hint="eastAsia" w:ascii="黑体" w:hAnsi="黑体" w:eastAsia="黑体" w:cs="黑体"/>
          <w:sz w:val="32"/>
          <w:szCs w:val="32"/>
          <w:highlight w:val="none"/>
        </w:rPr>
        <w:t>《建筑业企业资质标准》</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rPr>
        <w:t>建市〔2014〕159号</w:t>
      </w:r>
      <w:r>
        <w:rPr>
          <w:rFonts w:hint="eastAsia" w:ascii="黑体" w:hAnsi="黑体" w:eastAsia="黑体" w:cs="黑体"/>
          <w:sz w:val="32"/>
          <w:szCs w:val="32"/>
          <w:highlight w:val="none"/>
          <w:lang w:eastAsia="zh-CN"/>
        </w:rPr>
        <w:t>）</w:t>
      </w:r>
    </w:p>
    <w:p w14:paraId="1D15A005">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5水利水电工程施工总承包资质标准</w:t>
      </w:r>
    </w:p>
    <w:p w14:paraId="0CD1BD93">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5.2 二级资质标准</w:t>
      </w:r>
    </w:p>
    <w:p w14:paraId="3ECC4153">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5.2.1企业资产</w:t>
      </w:r>
    </w:p>
    <w:p w14:paraId="22C4EDC0">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净资产4000万元以上。</w:t>
      </w:r>
    </w:p>
    <w:p w14:paraId="206201DD">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5.2.2企业主要人员</w:t>
      </w:r>
    </w:p>
    <w:p w14:paraId="14F14CB0">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）水利水电工程专业注册建造师不少于15人，其中一级注册建造师不少于6人。</w:t>
      </w:r>
    </w:p>
    <w:p w14:paraId="0E981CB7">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）技术负责人具有8年以上从事工程施工技术管理工作经历，且具有水利水电工程相关专业高级职称或水利水电工程专业一级注册建造师执业资格；水利水电工程相关专业中级以上职称人员不少于30人。</w:t>
      </w:r>
    </w:p>
    <w:p w14:paraId="7FF0DD56">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）持有岗位证书的施工现场管理人员不少于30人，且施工员、质量员、安全员、材料员、资料员等人员齐全。</w:t>
      </w:r>
    </w:p>
    <w:p w14:paraId="78F6EA66">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）经考核或培训合格的中级工以上技术工人不少于40人。</w:t>
      </w:r>
    </w:p>
    <w:p w14:paraId="59B50D60">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5.2.3企业工程业绩</w:t>
      </w:r>
    </w:p>
    <w:p w14:paraId="529ECE29">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近10年承担过下列7类中的3类工程的施工总承包或主体工程承包，其中1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2类至少1类，3</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5类至少1类，工程质量合格。</w:t>
      </w:r>
    </w:p>
    <w:p w14:paraId="1A2E3003">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）库容500万立方米以上且坝高15米以上或库容10万立方米以上且坝高30米以上的水库、水电站大坝2座；</w:t>
      </w:r>
    </w:p>
    <w:p w14:paraId="3A5007EB">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）过闸流量60立方米/秒的水闸4座（不包括橡胶坝等）；</w:t>
      </w:r>
    </w:p>
    <w:p w14:paraId="1425F1FE">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）总装机容量10MW以上水电站2座；</w:t>
      </w:r>
    </w:p>
    <w:p w14:paraId="0832291C">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）总装机容量500kW（或流量≥8立方米/秒）以上泵站2座；</w:t>
      </w:r>
    </w:p>
    <w:p w14:paraId="782BBAB9">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）洞径&gt;4米（或断面积相等的其它型式）且长度≥200米的水工隧洞3个；</w:t>
      </w:r>
    </w:p>
    <w:p w14:paraId="603E933C">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）年完成水工混凝土浇筑20万立方米以上或坝体土石方填筑60万立方米以上或灌浆6万米以上或防渗墙4万平方米以上；</w:t>
      </w:r>
    </w:p>
    <w:p w14:paraId="4073E858">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lang w:eastAsia="zh-CN"/>
        </w:rPr>
        <w:t>）单项合同额5000万元以上的水利水电工程。</w:t>
      </w:r>
    </w:p>
    <w:p w14:paraId="566896A9">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5.3 三级资质标准</w:t>
      </w:r>
    </w:p>
    <w:p w14:paraId="2CE800DC">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5.3.1企业资产</w:t>
      </w:r>
    </w:p>
    <w:p w14:paraId="71E6A6AF">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净资产800万元以上。</w:t>
      </w:r>
    </w:p>
    <w:p w14:paraId="1B886619">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5.3.2企业主要人员</w:t>
      </w:r>
    </w:p>
    <w:p w14:paraId="46C6D0C3">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）水利水电工程专业注册建造师不少于8人。</w:t>
      </w:r>
    </w:p>
    <w:p w14:paraId="249C92E8">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）技术负责人具有5年以上从事工程施工技术管理工作经历，且具有水利水电工程相关专业中级以上职称或水利水电工程专业注册建造师执业资格；水利水电工程相关专业中级以上职称人员不少于10人。</w:t>
      </w:r>
    </w:p>
    <w:p w14:paraId="2F22EF96">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）持有岗位证书的施工现场管理人员不少于15人，且施工员、质量员、安全员、材料员、资料员等人员齐全。</w:t>
      </w:r>
    </w:p>
    <w:p w14:paraId="57A9F130">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）经考核或培训合格的中级工以上技术工人不少于20人。</w:t>
      </w:r>
    </w:p>
    <w:p w14:paraId="5D45EE7A">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）技术负责人（或注册建造师）主持完成过本类别资质二级以上标准要求的工程业绩不少于2项。</w:t>
      </w:r>
    </w:p>
    <w:p w14:paraId="4A1BA694">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注：</w:t>
      </w:r>
    </w:p>
    <w:p w14:paraId="6BC880B7">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水利水电工程是指以防洪、灌溉、发电、供水、治涝、水环境治理等为目的的各类工程（包括配套与附属工程），主要工程内容包括：水工建筑物（坝、堤、水闸、溢洪道、水工隧洞、涵洞与涵管、取水建筑物、河道整治建筑物、渠系建筑物、通航、过木、过鱼建筑物、地基处理）建设、水电站建设、水泵站建设、水力机械安装、水工金属结构制造及安装、电气设备安装、自动化信息系统、环境保护工程建设、水土保持工程建设、土地整治工程建设，以及与防汛抗旱有关的道路桥梁、通讯、水文、凿井等工程建设，与上述工程相关的管理用房附属工程建设等，详见《水利水电工程技术术语标准》（SL26-2012）。</w:t>
      </w:r>
    </w:p>
    <w:p w14:paraId="54A69400">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2.水利水电工程等级按照《水利水电工程等级划分及洪水标准》（SL252-2000）确定。</w:t>
      </w:r>
    </w:p>
    <w:p w14:paraId="5334D75A">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3.水利水电工程相关专业职称包括水利水电工程建筑、水利工程施工、农田水利工程、水电站动力设备、电力系统及自动化、水力学及河流动力学、水文与水资源、工程地质及水文地质、水利机械等水利水电类相关专业职称。</w:t>
      </w:r>
    </w:p>
    <w:p w14:paraId="7052D88A">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41水工金属结构制作与安装工程专业承包资质标准</w:t>
      </w:r>
    </w:p>
    <w:p w14:paraId="785D8A75">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41.2 二级资质标准</w:t>
      </w:r>
    </w:p>
    <w:p w14:paraId="5DF017AA">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41.2.1企业资产</w:t>
      </w:r>
    </w:p>
    <w:p w14:paraId="5F14F1C8">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净资产1000万元以上。</w:t>
      </w:r>
    </w:p>
    <w:p w14:paraId="72CA8DCF">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41.2.2企业主要人员</w:t>
      </w:r>
    </w:p>
    <w:p w14:paraId="38C9C673">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）水利水电工程、机电工程专业注册建造师合计不少于8人，其中水利水电工程专业注册建造师不少于5人。</w:t>
      </w:r>
    </w:p>
    <w:p w14:paraId="20820FE1">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技术负责人具有8年以上从事工程施工技术管理工作经历，且具有水利水电工程相关专业高级职称或水利水电工程专业一级注册建造师执业资格；金属结构、焊接、起重等专业中级以上职称人员不少于15人，且专业齐全。</w:t>
      </w:r>
    </w:p>
    <w:p w14:paraId="055268EF">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）持有岗位证书的施工现场管理人员不少于15人，且施工员、质量员、安全员、材料员、资料员等人员齐全。</w:t>
      </w:r>
    </w:p>
    <w:p w14:paraId="1523CB3C">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）经考核或培训合格的中级工以上技术工人不少于20人。</w:t>
      </w:r>
    </w:p>
    <w:p w14:paraId="58216FB5">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41.2.3企业工程业绩</w:t>
      </w:r>
    </w:p>
    <w:p w14:paraId="45B46737">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近5年承担过下列5类中的2类工程的施工，其中至少有1类是1、2类中所列工程，工程质量合格。</w:t>
      </w:r>
    </w:p>
    <w:p w14:paraId="3A4C837D">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pacing w:val="-6"/>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pacing w:val="-6"/>
          <w:sz w:val="32"/>
          <w:szCs w:val="32"/>
          <w:highlight w:val="none"/>
          <w:lang w:eastAsia="zh-CN"/>
        </w:rPr>
        <w:t>FH&gt;200的中型或单扇25吨以上的闸门制作安装工程4项；</w:t>
      </w:r>
    </w:p>
    <w:p w14:paraId="3EBE8CCF">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）单项1500吨以上的压力钢管制作安装工程1项，或DH&gt;200的中型或单项700吨以上的压力钢管制作安装工程3项；</w:t>
      </w:r>
    </w:p>
    <w:p w14:paraId="2D41456A">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）2台2x60吨以上或4台2x30吨以上启闭机安装工程；</w:t>
      </w:r>
    </w:p>
    <w:p w14:paraId="1E3D02FF">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）单扇中型拦污栅制作安装工程2项；</w:t>
      </w:r>
    </w:p>
    <w:p w14:paraId="7BD29C61">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pacing w:val="-6"/>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pacing w:val="-6"/>
          <w:sz w:val="32"/>
          <w:szCs w:val="32"/>
          <w:highlight w:val="none"/>
          <w:lang w:eastAsia="zh-CN"/>
        </w:rPr>
        <w:t>单位工程合同额600万元以上的金属结构制作安装工程。</w:t>
      </w:r>
    </w:p>
    <w:p w14:paraId="4414693D">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41.3 三级资质标准</w:t>
      </w:r>
    </w:p>
    <w:p w14:paraId="41970DF5">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41.3.1企业资产</w:t>
      </w:r>
    </w:p>
    <w:p w14:paraId="65476D94">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净资产400万元以上。</w:t>
      </w:r>
    </w:p>
    <w:p w14:paraId="02598532">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41.3.2企业主要人员</w:t>
      </w:r>
    </w:p>
    <w:p w14:paraId="70F80202">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）水利水电工程、机电工程专业注册建造师合计不少于5人，其中水利水电工程专业注册建造师不少于3人。</w:t>
      </w:r>
    </w:p>
    <w:p w14:paraId="2AB504B0">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技术负责人具有5年以上从事工程施工技术管理工作经历，且具有水利水电工程相关专业中级以上职称或水利水电工程专业注册建造师执业资格；金属结构、焊接、起重等专业中级以上职称人员不少于8人，且专业齐全。</w:t>
      </w:r>
    </w:p>
    <w:p w14:paraId="68031008">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）持有岗位证书的施工现场管理人员不少于10人，且施工员、质量员、安全员、材料员、资料员等人员齐全。</w:t>
      </w:r>
    </w:p>
    <w:p w14:paraId="5905DE1D">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）经考核或培训合格的中级工以上技术工人不少于15人。</w:t>
      </w:r>
    </w:p>
    <w:p w14:paraId="3C8353EB">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）技术负责人（或注册建造师）主持完成过本类别资质二级以上标准要求的工程业绩不少于2项。</w:t>
      </w:r>
    </w:p>
    <w:p w14:paraId="26A52A5F">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42水利水电机电安装工程专业承包资质标准</w:t>
      </w:r>
    </w:p>
    <w:p w14:paraId="7D340BDB">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42.2 二级资质标准</w:t>
      </w:r>
    </w:p>
    <w:p w14:paraId="448AABF3">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42.2.1企业资产</w:t>
      </w:r>
    </w:p>
    <w:p w14:paraId="499AA819">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净资产1000万元以上。</w:t>
      </w:r>
    </w:p>
    <w:p w14:paraId="47407E5B">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42.2.2企业主要人员</w:t>
      </w:r>
    </w:p>
    <w:p w14:paraId="7DD4EA6A">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）水利水电工程、机电工程专业注册建造师合计不少于8人，其中水利水电工程专业注册建造师不少于4人。</w:t>
      </w:r>
    </w:p>
    <w:p w14:paraId="290CE2C9">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技术负责人具有8年以上从事工程施工技术管理工作经历，且具有水利水电工程相关专业高级职称或水利水电工程专业一级注册建造师执业资格；水轮机、水轮发电机、电气、焊接、调试、起重等专业中级以上职称人员不少于15人，且专业齐全。</w:t>
      </w:r>
    </w:p>
    <w:p w14:paraId="1944F817">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）持有岗位证书的施工现场管理人员不少于15人，且施工员、质量员、安全员、材料员、资料员等人员齐全。</w:t>
      </w:r>
    </w:p>
    <w:p w14:paraId="5F975BBB">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）经考核或培训合格的中级工以上技术工人不少于20人。</w:t>
      </w:r>
    </w:p>
    <w:p w14:paraId="28B50251">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42.2.3企业工程业绩</w:t>
      </w:r>
    </w:p>
    <w:p w14:paraId="698E644E">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近5年承担过下列5类中的2类工程的施工，工程质量合格。</w:t>
      </w:r>
    </w:p>
    <w:p w14:paraId="3C212038">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）混流式水轮发电机组：单机容量25MW以上4</w:t>
      </w:r>
      <w:r>
        <w:rPr>
          <w:rFonts w:hint="eastAsia" w:ascii="仿宋_GB2312" w:hAnsi="仿宋_GB2312" w:eastAsia="仿宋_GB2312" w:cs="仿宋_GB2312"/>
          <w:sz w:val="32"/>
          <w:szCs w:val="32"/>
          <w:highlight w:val="none"/>
          <w:lang w:val="en-US" w:eastAsia="zh-CN"/>
        </w:rPr>
        <w:t>台</w:t>
      </w:r>
    </w:p>
    <w:p w14:paraId="6CC18ACC">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）轴流式水轮发电机组：单机容量10MW以上2台或5MW以上4台；</w:t>
      </w:r>
    </w:p>
    <w:p w14:paraId="5FBA0E3E">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）贯流式水轮发电机组：单机容量5MW以上2台或3MW以上4台；</w:t>
      </w:r>
    </w:p>
    <w:p w14:paraId="5574726A">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）冲击式水轮发电机组：单机容量5MW以上2台或3MW以上4台；</w:t>
      </w:r>
    </w:p>
    <w:p w14:paraId="6245A122">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）水泵机组：单机容量300kW以上4台。</w:t>
      </w:r>
    </w:p>
    <w:p w14:paraId="64CF08C5">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42.3 三级资质标准</w:t>
      </w:r>
    </w:p>
    <w:p w14:paraId="1B61C5AA">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42.3.1企业资产</w:t>
      </w:r>
    </w:p>
    <w:p w14:paraId="4FF24BED">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净资产400万元以上。</w:t>
      </w:r>
    </w:p>
    <w:p w14:paraId="023D0AD1">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42.3.2企业主要人员</w:t>
      </w:r>
    </w:p>
    <w:p w14:paraId="5659575E">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）水利水电工程、机电工程专业注册建造师合计不少于5人，其中水利水电工程专业注册建造师不少于3人。</w:t>
      </w:r>
    </w:p>
    <w:p w14:paraId="04D39C29">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技术负责人具有5年以上从事工程施工技术管理工作经历，且具有水利水电工程相关专业中级以上职称或水利水电工程专业注册建造师执业资格；水轮机、水轮发电机、电气、焊接、调试、起重等专业中级以上职称人员不少于8人，且专业齐全。</w:t>
      </w:r>
    </w:p>
    <w:p w14:paraId="1B29E813">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）持有岗位证书的施工现场管理人员不少于10人，且施工员、质量员、安全员、材料员、资料员等人员齐全。</w:t>
      </w:r>
    </w:p>
    <w:p w14:paraId="70455058">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）经考核或培训合格的中级工以上技术工人不少于15人。</w:t>
      </w:r>
    </w:p>
    <w:p w14:paraId="5F5E2754">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）技术负责人（或注册建造师）主持完成过本类别资质二级以上标准要求的工程业绩不少于2项。</w:t>
      </w:r>
    </w:p>
    <w:p w14:paraId="79F15B8B">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43河湖整治工程专业承包资质标准</w:t>
      </w:r>
    </w:p>
    <w:p w14:paraId="24B1EC0B">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43.2 二级资质标准</w:t>
      </w:r>
    </w:p>
    <w:p w14:paraId="3EA77670">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43.2.1企业资产</w:t>
      </w:r>
    </w:p>
    <w:p w14:paraId="362226F2">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净资产2000万元以上。</w:t>
      </w:r>
    </w:p>
    <w:p w14:paraId="7FF73B78">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43.2.2企业主要人员</w:t>
      </w:r>
    </w:p>
    <w:p w14:paraId="06A181D6">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）水利水电工程专业注册建造师不少于8人。</w:t>
      </w:r>
    </w:p>
    <w:p w14:paraId="3E931631">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技术负责人具有8年以上从事工程施工技术管理工作经历，且具有水利水电工程相关专业高级职称或水利水电工程专业一级注册建造师执业资格；水利水电、治河、船舶机械等专业中级以上职称人员不少于15人，且专业齐全。</w:t>
      </w:r>
    </w:p>
    <w:p w14:paraId="3D4CA1DD">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）持有岗位证书的施工现场管理人员不少于15人，且施工员、质量员、安全员、材料员、资料员等人员齐全。</w:t>
      </w:r>
    </w:p>
    <w:p w14:paraId="09E9B041">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）经考核或培训合格的中级工以上技术工人不少于20人。</w:t>
      </w:r>
    </w:p>
    <w:p w14:paraId="04BC7984">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43.2.3企业工程业绩</w:t>
      </w:r>
    </w:p>
    <w:p w14:paraId="6F3327CF">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近5年承担过下列6类中的2类工程的施工，其中1</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4类至少1类，5</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lang w:eastAsia="zh-CN"/>
        </w:rPr>
        <w:t>6类至少1类，工程质量合格。</w:t>
      </w:r>
    </w:p>
    <w:p w14:paraId="0698921D">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）河势控导工程700延米以上；</w:t>
      </w:r>
    </w:p>
    <w:p w14:paraId="323C11A2">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）水中进占丁坝6道以上；</w:t>
      </w:r>
    </w:p>
    <w:p w14:paraId="04A9726E">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）3级堤防险工1000延米以上；</w:t>
      </w:r>
    </w:p>
    <w:p w14:paraId="3198E8BB">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）投资300万以上或用石料5000立方米以上的防汛抢险施工工程；</w:t>
      </w:r>
    </w:p>
    <w:p w14:paraId="2CA245DB">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）年疏浚或水下土方挖方300万立方米以上；</w:t>
      </w:r>
    </w:p>
    <w:p w14:paraId="610E1A65">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lang w:eastAsia="zh-CN"/>
        </w:rPr>
        <w:t>）年吹填土方150万立方米以上。</w:t>
      </w:r>
    </w:p>
    <w:p w14:paraId="7765E923">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43.2.4 技术装备</w:t>
      </w:r>
    </w:p>
    <w:p w14:paraId="0C775A50">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具有单船功率500KW以上的专业疏浚船只不少于2条；专业施工设备装机总功率2600kW以上。</w:t>
      </w:r>
    </w:p>
    <w:p w14:paraId="3DF506E2">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43.3 三级资质标准</w:t>
      </w:r>
    </w:p>
    <w:p w14:paraId="7F4FBD2E">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43.3.1企业资产</w:t>
      </w:r>
    </w:p>
    <w:p w14:paraId="4B0DAE14">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净资产400万元以上。</w:t>
      </w:r>
    </w:p>
    <w:p w14:paraId="48E48435">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43.3.2企业主要人员</w:t>
      </w:r>
    </w:p>
    <w:p w14:paraId="47074029">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）水利水电工程专业注册建造师不少于5人。</w:t>
      </w:r>
    </w:p>
    <w:p w14:paraId="004BB132">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技术负责人具有5年以上从事工程施工技术管理工作经历，且具有水利水电工程相关专业中级以上职称或水利水电工程专业注册建造师执业资格；水利水电、治河、船舶机械等专业中级以上职称人员不少于8人，且专业齐全。</w:t>
      </w:r>
    </w:p>
    <w:p w14:paraId="4E89E2FD">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）持有岗位证书的施工现场管理人员不少于10人，且施工员、质量员、安全员、材料员、资料员等人员齐全。</w:t>
      </w:r>
    </w:p>
    <w:p w14:paraId="49CC852B">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）经考核或培训合格的中级工以上技术工人不少于15人。</w:t>
      </w:r>
    </w:p>
    <w:p w14:paraId="45CCFD9D">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lang w:eastAsia="zh-CN"/>
        </w:rPr>
        <w:t>）技术负责人（或注册建造师）主持完成过本类别资质二级以上标准要求的工程业绩不少于2项。</w:t>
      </w:r>
    </w:p>
    <w:p w14:paraId="11F9A40E">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val="en-US" w:eastAsia="zh-CN"/>
        </w:rPr>
        <w:t>四、</w:t>
      </w:r>
      <w:r>
        <w:rPr>
          <w:rFonts w:hint="eastAsia" w:ascii="黑体" w:hAnsi="黑体" w:eastAsia="黑体" w:cs="黑体"/>
          <w:sz w:val="32"/>
          <w:szCs w:val="32"/>
          <w:highlight w:val="none"/>
        </w:rPr>
        <w:t>《建筑业企业资质管理规定和资质标准实施意见》</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rPr>
        <w:t>建市〔2015〕20号</w:t>
      </w:r>
      <w:r>
        <w:rPr>
          <w:rFonts w:hint="eastAsia" w:ascii="黑体" w:hAnsi="黑体" w:eastAsia="黑体" w:cs="黑体"/>
          <w:sz w:val="32"/>
          <w:szCs w:val="32"/>
          <w:highlight w:val="none"/>
          <w:lang w:eastAsia="zh-CN"/>
        </w:rPr>
        <w:t>）</w:t>
      </w:r>
    </w:p>
    <w:p w14:paraId="167D8F86">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三）企业申请省、自治区、直辖市人民政府住房城乡建设主管部门（以下简称省级住房城乡建设主管部门）许可的建筑业企业资质，按照省级住房城乡建设主管部门规定的程序提出申请。省级住房城乡建设主管部门应在其门户网站公布有关审批程序。</w:t>
      </w:r>
    </w:p>
    <w:p w14:paraId="5A4E1449">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（六）企业申请资质升级（含一级升特级）、资质增项的，资质许可机关应当核查其申请之日起前一年至资质许可决定作出前有无《规定》第二十三条所列违法违规行为，并将核查结果作为资质许可的依据。</w:t>
      </w:r>
    </w:p>
    <w:p w14:paraId="16D3ADE1">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（七）企业申请资质升级不受年限限制。</w:t>
      </w:r>
    </w:p>
    <w:p w14:paraId="0E81388F">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pacing w:val="-11"/>
          <w:sz w:val="32"/>
          <w:szCs w:val="32"/>
          <w:highlight w:val="none"/>
          <w:lang w:eastAsia="zh-CN"/>
        </w:rPr>
      </w:pPr>
      <w:r>
        <w:rPr>
          <w:rFonts w:hint="eastAsia" w:ascii="仿宋_GB2312" w:hAnsi="仿宋_GB2312" w:eastAsia="仿宋_GB2312" w:cs="仿宋_GB2312"/>
          <w:sz w:val="32"/>
          <w:szCs w:val="32"/>
          <w:highlight w:val="none"/>
          <w:lang w:eastAsia="zh-CN"/>
        </w:rPr>
        <w:t>（八）</w:t>
      </w:r>
      <w:r>
        <w:rPr>
          <w:rFonts w:hint="eastAsia" w:ascii="仿宋_GB2312" w:hAnsi="仿宋_GB2312" w:eastAsia="仿宋_GB2312" w:cs="仿宋_GB2312"/>
          <w:spacing w:val="-11"/>
          <w:sz w:val="32"/>
          <w:szCs w:val="32"/>
          <w:highlight w:val="none"/>
          <w:lang w:eastAsia="zh-CN"/>
        </w:rPr>
        <w:t>资质许可机关应当在其门户网站公布企业资质许可结果。</w:t>
      </w:r>
    </w:p>
    <w:p w14:paraId="01B7E6B8">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（九）资质许可机关对建筑业企业的所有申请、审查等书面材料应当至少保存5年。</w:t>
      </w:r>
    </w:p>
    <w:p w14:paraId="1E70B504">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十三）企业首次申请资质，申请资质升级、增项、延续、简单变更、遗失补办证书，以及发生合并、分立、改制、重组、跨省变更等事项后申请资质的，分别按照以下有关要求和《建筑业企业资质申报材料清单》（附件2）要求，提交相应材料：</w:t>
      </w:r>
    </w:p>
    <w:p w14:paraId="4FAFDD1A">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1.不具有建筑业企业资质的企业，申请建筑业企业资质的，按照首次申请要求提交材料。</w:t>
      </w:r>
    </w:p>
    <w:p w14:paraId="0C20EF50">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2.已具有建筑业企业资质的企业，申请同类别高一等级资质的，以及具有工程设计综合资质、行业甲级资质的企业直接申请一级施工总承包资质的，按照升级要求提交材料。</w:t>
      </w:r>
    </w:p>
    <w:p w14:paraId="34CD45A4">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3.已具有建筑业企业资质的企业，申请增加其他类别的建筑业企业资质的，按照增项要求提交材料。</w:t>
      </w:r>
    </w:p>
    <w:p w14:paraId="6679B6EF">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（三十五）涉及公路、水运、水利、通信、铁路、民航等方面资质及涉及多个专业资质情况如下：</w:t>
      </w:r>
    </w:p>
    <w:p w14:paraId="7D47761C">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3.涉及水利方面的资质：水利水电工程施工总承包资质、水工金属结构制作与安装工程专业承包资质、河湖整治工程专业承包资质、水利水电机电安装工程专业承包资质。</w:t>
      </w:r>
    </w:p>
    <w:p w14:paraId="5534B7CA">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（三十七）企业资产</w:t>
      </w:r>
    </w:p>
    <w:p w14:paraId="5DF410E2">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企业净资产以企业申请资质前一年度或当期经审计的财务报表中净资产指标为准考核。首次申请资质的，以企业《营业执照》所载注册资本为准考核；申请多项资质的，企业净资产不累加计算考核，按企业所申请资质和已拥有资质标准要求的净资产指标最高值考核。</w:t>
      </w:r>
    </w:p>
    <w:p w14:paraId="27D4AB1D">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2.厂房包括企业自有或租赁的厂房。</w:t>
      </w:r>
    </w:p>
    <w:p w14:paraId="27FC1CCE">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（三十八）企业主要人员</w:t>
      </w:r>
    </w:p>
    <w:p w14:paraId="2B7F32A1">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1.企业主要人员包括：注册执业人员、技术职称人员（包括技术负责人）、现场管理人员、技术工人等4类人员。</w:t>
      </w:r>
    </w:p>
    <w:p w14:paraId="1F72F05E">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pacing w:val="-6"/>
          <w:sz w:val="32"/>
          <w:szCs w:val="32"/>
          <w:highlight w:val="none"/>
          <w:lang w:eastAsia="zh-CN"/>
        </w:rPr>
      </w:pPr>
      <w:r>
        <w:rPr>
          <w:rFonts w:hint="eastAsia" w:ascii="仿宋_GB2312" w:hAnsi="仿宋_GB2312" w:eastAsia="仿宋_GB2312" w:cs="仿宋_GB2312"/>
          <w:sz w:val="32"/>
          <w:szCs w:val="32"/>
          <w:highlight w:val="none"/>
          <w:lang w:eastAsia="zh-CN"/>
        </w:rPr>
        <w:t>2.《</w:t>
      </w:r>
      <w:r>
        <w:rPr>
          <w:rFonts w:hint="eastAsia" w:ascii="仿宋_GB2312" w:hAnsi="仿宋_GB2312" w:eastAsia="仿宋_GB2312" w:cs="仿宋_GB2312"/>
          <w:spacing w:val="-6"/>
          <w:sz w:val="32"/>
          <w:szCs w:val="32"/>
          <w:highlight w:val="none"/>
          <w:lang w:eastAsia="zh-CN"/>
        </w:rPr>
        <w:t>标准》中所称中级及以上技术职称，是指设区的市级及以上人事主管部门或其授权的单位评审的工程系列专业技术职称。</w:t>
      </w:r>
    </w:p>
    <w:p w14:paraId="0AB823CF">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pacing w:val="-6"/>
          <w:sz w:val="32"/>
          <w:szCs w:val="32"/>
          <w:highlight w:val="none"/>
          <w:lang w:eastAsia="zh-CN"/>
        </w:rPr>
      </w:pPr>
      <w:r>
        <w:rPr>
          <w:rFonts w:hint="eastAsia" w:ascii="仿宋_GB2312" w:hAnsi="仿宋_GB2312" w:eastAsia="仿宋_GB2312" w:cs="仿宋_GB2312"/>
          <w:sz w:val="32"/>
          <w:szCs w:val="32"/>
          <w:highlight w:val="none"/>
          <w:lang w:eastAsia="zh-CN"/>
        </w:rPr>
        <w:t>3.</w:t>
      </w:r>
      <w:r>
        <w:rPr>
          <w:rFonts w:hint="eastAsia" w:ascii="仿宋_GB2312" w:hAnsi="仿宋_GB2312" w:eastAsia="仿宋_GB2312" w:cs="仿宋_GB2312"/>
          <w:spacing w:val="-6"/>
          <w:sz w:val="32"/>
          <w:szCs w:val="32"/>
          <w:highlight w:val="none"/>
          <w:lang w:eastAsia="zh-CN"/>
        </w:rPr>
        <w:t>现场管理人员是指与企业依法签订1年以上劳动合同，由企业依法为其缴纳社会保险，并按规定取得省级住房城乡建设主管部门或有关部门颁发的相应岗位证书的人员，以及住房城乡建设部或国务院有关部门认可的行业协会颁发的相应岗位证书的人员。</w:t>
      </w:r>
    </w:p>
    <w:p w14:paraId="30ACAFD3">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相应岗位证书包括：岗位培训考核合格证书、安全生产考核合格证书、职业资格证书等。</w:t>
      </w:r>
    </w:p>
    <w:p w14:paraId="34DE9565">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技术工人是指与企业依法签订1年以上劳动合同，由企业依法为其缴纳社会保险，并取得住房城乡建设部、国务院有关部门、省级住房城乡建设主管部门或有关部门认可的机构或建筑业企业颁发的职业培训合格证书或职业技能等级证书的人员。</w:t>
      </w:r>
    </w:p>
    <w:p w14:paraId="43363254">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企业以其全资或控股的劳务企业技术工人作为企业主要人员申请施工总承包资质的，技术工人社会保险应由其全资或绝对控股的劳务企业缴纳。</w:t>
      </w:r>
    </w:p>
    <w:p w14:paraId="67CE2770">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5.企业主要人员应满足60周岁及以下且由企业为其缴纳社会保险的要求。</w:t>
      </w:r>
    </w:p>
    <w:p w14:paraId="58982774">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6.企业主要人员在两家及以上企业受聘或注册的，不作为资质标准要求的有效人员考核。</w:t>
      </w:r>
    </w:p>
    <w:p w14:paraId="4C44D938">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7.技术负责人的资历、专业职称、业绩等方面按企业所申请资质的相应标准要求进行考核。企业应按所申请资质类别明确对应的1名专业技术负责人。</w:t>
      </w:r>
    </w:p>
    <w:p w14:paraId="622C94A7">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8.中级及以上职称人员的“相关专业”按职称证书的岗位专业或毕业证书中所学专业进行考核。</w:t>
      </w:r>
    </w:p>
    <w:p w14:paraId="5535EA95">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其中，结构专业包括：土木工程、工民建、结构、建筑施工、建筑工程等专业。</w:t>
      </w:r>
    </w:p>
    <w:p w14:paraId="63B647D5">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9.企业申请某一类别资质，企业主要人员中每类人员数量、专业、工种均应满足《标准》要求。一个人同时具有注册证书、技术职称、岗位证书、技术工人培训合格证书或职业技能等级证书中两个及以上的，只能作为一人考核；但一个人同时拥有注册证书和技术职称的，可同时作为注册人员和技术职称人员考核。</w:t>
      </w:r>
    </w:p>
    <w:p w14:paraId="0A42FD08">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10.企业申请多个类别资质，企业主要人员中每类人员数量、专业、工种等应分别满足《标准》要求，每类人员数量不累加考核。如：企业同时申请建筑工程和市政公用工程施工总承包一级资质，企业只要拥有150名中级工以上技术工人即可分别满足两个类别的技术工人指标要求。</w:t>
      </w:r>
    </w:p>
    <w:p w14:paraId="5711B1C1">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一个人具有两个及以上技术职称（注册资格）或专业工种的，可分别考核。如：一个人同时具有建筑工程职称证书和道路工程毕业证书，可分别作为企业申请建筑工程和市政公用工程施工总承包资质要求的职称人员考核。</w:t>
      </w:r>
    </w:p>
    <w:p w14:paraId="3378EEE8">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11.社会保险证明是指社会统筹保险基金管理部门出具的基本养老保险对账单或加盖社会统筹保险基金管理部门公章的单位缴费明细，以及企业缴费凭证（社会保险缴费发票或银行转账凭证等证明）；社会保险证明应至少体现以下内容：缴纳保险单位名称、人员姓名、社会保障号（或身份证号）、险种、缴费期限等。社会保险证明中缴费单位应与申报单位一致，上级公司、子公司、事业单位、人力资源服务机构等其他单位缴纳或个人缴纳社会保险均不予认定，分公司缴纳的社会保险可以予以认定。</w:t>
      </w:r>
    </w:p>
    <w:p w14:paraId="4088C30F">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12.《标准》中要求×××专业、×××专业注册建造师合计不少于××人，不要求所列专业必须齐全。</w:t>
      </w:r>
    </w:p>
    <w:p w14:paraId="7B27CBDB">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13.《标准》中对职称人员专业作了限定，且要求专业齐全的，是指申报人员应由具有相应专业的技术职称人员组成，且每个专业至少有1人。如：建筑工程施工总承包一级资质标准中要求“建筑工程相关专业中级以上职称人员不少于30人，且结构、给排水、暖通、电气等专业齐全”，是指30人应当由结构、给排水、暖通、电气等4个专业中级以上有职称人员组成，且结构、给排水、暖通、电气各专业至少有1人，其他专业人员不予认可。</w:t>
      </w:r>
    </w:p>
    <w:p w14:paraId="291D5ED9">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14.《标准》未对技术职称人员专业作限定，但要求部分专业齐全的，是指要求齐全的专业至少有1人，其余申报人员专业不作限定。如：防水防腐保温工程专业承包一级资质标准中要求“工程序列中级以上职称和注册建造师合计不少于15人，且结构、材料或化工等专业齐全”，是指具有工程序列中级以上技术职称人员或注册建造师数量或两者之和的数量为15人，但其中至少应有1名结构专业、1名材料或化工专业人员，其他人员专业不作要求。</w:t>
      </w:r>
    </w:p>
    <w:p w14:paraId="002282F3">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15.《标准》中对技术职称人员专业作了限定，且未要求专业齐全的，是指相应专业的申报人员数量达到标准要求即可，每一类专业人员数量不作要求。如：水利水电工程施工总承包一级资质标准中要求“水利水电工程相关专业中级以上职称不少于60人”，指具有水利水电工程相关专业人员总数满足60人即可，每个专业人数不限，也不要求所有专业齐全。</w:t>
      </w:r>
    </w:p>
    <w:p w14:paraId="239412DD">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16.《标准》中现场管理人员岗位证书齐全是指企业申报人员中所要求岗位证书人员至少有1人，其他岗位证书人员数量不作要求。如：机场场道专业承包一级资质标准中要求“持有岗位证书的施工现场管理人员不少于30人，且施工员、质量员、安全员、材料员、资料员等人员齐全”，是指持有岗位证书的施工现场管理人员30人中至少有施工员、质量员、安全员、材料员、资料员各1人，其余人员可以是施工员、质量员、安全员、材料员、资料员、劳务员、造价员、测量员、试验员、标准员、机械员等任意一种人员。</w:t>
      </w:r>
    </w:p>
    <w:p w14:paraId="1E9DFF61">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17.《标准》中未对技术工人的工种作出要求的，不对技术工人的工种进行考核。</w:t>
      </w:r>
    </w:p>
    <w:p w14:paraId="3ED7D4FB">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18.《标准》中技术负责人（或注册建造师）主持完成的业绩是指作为施工项目经理或项目技术负责人主持完成的工程项目。其中，《标准》中考核指标为累计指标的，技术负责人（或注册建造师）主持完成的业绩不做累计考核。如：公路工程施工总承包二级资质标准中要求“近10年承担过下列3类工程施工，工程质量合格。（1）累计修建三级以上公路路基200公里以上……”，企业申请公路工程施工总承包三级资质时，技术负责人（或注册建造师）提供的主持完成的个人业绩应当是三级以上公路的路基工程项目即可，长度不作考核。</w:t>
      </w:r>
    </w:p>
    <w:p w14:paraId="172E8136">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（三十九）技术装备</w:t>
      </w:r>
    </w:p>
    <w:p w14:paraId="500272D4">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《标准》中明确要求的设备应为企业自有设备，以企业设备购置发票为准进行考核；其中，申请港口与航道施工总承包资质的，应提供设备主要性能指标证明、所属权证明和检验合格证明。</w:t>
      </w:r>
    </w:p>
    <w:p w14:paraId="3DECDB67">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（四十）企业工程业绩和承包范围</w:t>
      </w:r>
    </w:p>
    <w:p w14:paraId="30294E56">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1.一项单位工程业绩同时满足多项技术指标的，只作为一项指标考核。《标准》中分别考核累计和单项技术指标的，同一工程业绩可同时考核，但铁路方面资质除外。</w:t>
      </w:r>
    </w:p>
    <w:p w14:paraId="57A568BF">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业绩中要求的“×类中的×类”必须分别满足，不能相互替代。如：建筑工程一级资质标准，要求企业完成“4类中的2类以上工程”，是指企业完成的工程中，高度、层数、单体面积、跨度等4类考核指标中至少应满足2类，否则即为业绩不达标。</w:t>
      </w:r>
    </w:p>
    <w:p w14:paraId="01A648A2">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3.企业申请多个类别资质的，工程业绩应当分别满足各类别资质标准条件。</w:t>
      </w:r>
    </w:p>
    <w:p w14:paraId="2BDCB8FD">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4.申请建筑工程施工总承包资质的，单位工程竣工验收合格后，方可作为施工总承包业绩考核。</w:t>
      </w:r>
    </w:p>
    <w:p w14:paraId="4ECBA028">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5.企业以施工总承包方式承接的工程，不论该工程是否实行分包，均可作为其施工总承包业绩考核。</w:t>
      </w:r>
    </w:p>
    <w:p w14:paraId="025B1B3E">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6.申请专业承包资质的，以企业依法单独承接的专业工程业绩考核。</w:t>
      </w:r>
    </w:p>
    <w:p w14:paraId="7FF4A7CF">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7.施工总承包工程范围包括主体工程和配套工程。配套工程不得单独作为企业申报施工总承包资质工程业绩考核。</w:t>
      </w:r>
    </w:p>
    <w:p w14:paraId="7D84A327">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8.《标准》中要求的“近5年”或“近10年”，是指自申请资质年度起逆推5年或10年期间竣工的工程业绩。如：申报年度为2015年，“近5年”的业绩是指2010年1月1日之后竣工（交工）验收合格的项目。超过时限的代表工程业绩不予认可。</w:t>
      </w:r>
    </w:p>
    <w:p w14:paraId="4020DCB6">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9.超越本企业资质承包工程范围的代表工程业绩不予认可。企业以境外承包工程作为代表工程业绩申报的，不考核其是否超越资质承包工程范围。</w:t>
      </w:r>
    </w:p>
    <w:p w14:paraId="2ED2E40B">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10.企业申报的工程业绩中项目负责人在项目实施时存在非本企业注册建造师、不具备注册建造师资格、超越注册建造师执业范围执业或违反有关规定同时在两个及以上项目担任项目负责人的，企业该项工程业绩不予认可。</w:t>
      </w:r>
    </w:p>
    <w:p w14:paraId="28407A01">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11.保密工程不得作为企业代表工程业绩申报。</w:t>
      </w:r>
    </w:p>
    <w:p w14:paraId="1E9C47CE">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12.单项合同额是指一个承包合同所载合同价。</w:t>
      </w:r>
    </w:p>
    <w:p w14:paraId="08C2FE64">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13.建筑工程高度应为从标高正负零算起至檐口的高度。</w:t>
      </w:r>
    </w:p>
    <w:p w14:paraId="5603BBB8">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14.建筑工程层数是指正负零到檐口之间的楼层数，其中，设备层不计算在内，跃层按单层计算。</w:t>
      </w:r>
    </w:p>
    <w:p w14:paraId="7FED9947">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15.群体建筑（无论基础是否相连）不作为单体建筑面积业绩考核。</w:t>
      </w:r>
    </w:p>
    <w:p w14:paraId="106BBE61">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16.轻钢、网架结构跨度业绩不作为建筑工程施工总承包跨度业绩考核。</w:t>
      </w:r>
    </w:p>
    <w:p w14:paraId="69CA3FC8">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17.企业因负有工程质量、生产安全事故责任被降级、吊销资质，或因工程业绩弄虚作假申报资质被通报批评或撤销资质的，其相应工程业绩不得作为代表工程业绩申报。</w:t>
      </w:r>
    </w:p>
    <w:p w14:paraId="0D424360">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lang w:val="en-US" w:eastAsia="zh-CN"/>
        </w:rPr>
        <w:t>五、</w:t>
      </w:r>
      <w:r>
        <w:rPr>
          <w:rFonts w:hint="eastAsia" w:ascii="黑体" w:hAnsi="黑体" w:eastAsia="黑体" w:cs="黑体"/>
          <w:sz w:val="32"/>
          <w:szCs w:val="32"/>
          <w:highlight w:val="none"/>
        </w:rPr>
        <w:t>《住房城乡建设部关于调整建筑业企业资质标准中净资产指标考核有关问题的通知》</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rPr>
        <w:t>建市〔2015〕177号</w:t>
      </w:r>
      <w:r>
        <w:rPr>
          <w:rFonts w:hint="eastAsia" w:ascii="黑体" w:hAnsi="黑体" w:eastAsia="黑体" w:cs="黑体"/>
          <w:sz w:val="32"/>
          <w:szCs w:val="32"/>
          <w:highlight w:val="none"/>
          <w:lang w:eastAsia="zh-CN"/>
        </w:rPr>
        <w:t>）</w:t>
      </w:r>
    </w:p>
    <w:p w14:paraId="287EA2E3">
      <w:pPr>
        <w:keepNext w:val="0"/>
        <w:keepLines w:val="0"/>
        <w:pageBreakBefore w:val="0"/>
        <w:widowControl w:val="0"/>
        <w:numPr>
          <w:ilvl w:val="0"/>
          <w:numId w:val="0"/>
        </w:numPr>
        <w:kinsoku/>
        <w:wordWrap/>
        <w:overflowPunct/>
        <w:topLinePunct w:val="0"/>
        <w:autoSpaceDE/>
        <w:autoSpaceDN/>
        <w:bidi w:val="0"/>
        <w:adjustRightInd/>
        <w:spacing w:line="560" w:lineRule="exact"/>
        <w:ind w:left="10" w:leftChars="0" w:firstLine="610" w:firstLineChars="193"/>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将《建筑业企业资质管理规定和资质标准实施意见》（建市〔2015〕20号）中第（三十七）条第一款中“企业净资产以企业申请资质前一年度或当期经审计的财务报表中净资产指标为准考核”修改为“企业净资产以企业申请资质前一年度或当期合法的财务报表中净资产指标为准考核”。</w:t>
      </w:r>
    </w:p>
    <w:p w14:paraId="7EC0D9EB">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六、</w:t>
      </w:r>
      <w:r>
        <w:rPr>
          <w:rFonts w:hint="eastAsia" w:ascii="黑体" w:hAnsi="黑体" w:eastAsia="黑体" w:cs="黑体"/>
          <w:sz w:val="32"/>
          <w:szCs w:val="32"/>
          <w:highlight w:val="none"/>
        </w:rPr>
        <w:t>《住房城乡建设部关于简化建筑业企业资质标准部分指标的通知》</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rPr>
        <w:t>建市〔2016〕226号</w:t>
      </w:r>
      <w:r>
        <w:rPr>
          <w:rFonts w:hint="eastAsia" w:ascii="黑体" w:hAnsi="黑体" w:eastAsia="黑体" w:cs="黑体"/>
          <w:sz w:val="32"/>
          <w:szCs w:val="32"/>
          <w:highlight w:val="none"/>
          <w:lang w:eastAsia="zh-CN"/>
        </w:rPr>
        <w:t>）</w:t>
      </w:r>
    </w:p>
    <w:p w14:paraId="699E8990">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除各类别最低等级资质外，取消关于注册建造师、中级以上职称人员、持有岗位证书的现场管理人员、技术工人的指标考核。</w:t>
      </w:r>
    </w:p>
    <w:p w14:paraId="23AE639E">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七、</w:t>
      </w:r>
      <w:r>
        <w:rPr>
          <w:rFonts w:hint="eastAsia" w:ascii="黑体" w:hAnsi="黑体" w:eastAsia="黑体" w:cs="黑体"/>
          <w:sz w:val="32"/>
          <w:szCs w:val="32"/>
          <w:highlight w:val="none"/>
        </w:rPr>
        <w:t>《住房城乡建设部办公厅关于简化建设工程企业资质申报材料有关事项的通知》</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rPr>
        <w:t>建办市〔2018〕45号</w:t>
      </w:r>
      <w:r>
        <w:rPr>
          <w:rFonts w:hint="eastAsia" w:ascii="黑体" w:hAnsi="黑体" w:eastAsia="黑体" w:cs="黑体"/>
          <w:sz w:val="32"/>
          <w:szCs w:val="32"/>
          <w:highlight w:val="none"/>
          <w:lang w:eastAsia="zh-CN"/>
        </w:rPr>
        <w:t>）</w:t>
      </w:r>
    </w:p>
    <w:p w14:paraId="16F6522F">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企业在申请工程勘察、工程设计、建筑业企业资质（含升级、延续、变更）时，不需提供企业资质证书、注册执业人员身份证明和注册证书，由资质许可机关根据全国建筑市场监管公共服务平台的相关数据自行核查比对。</w:t>
      </w:r>
    </w:p>
    <w:p w14:paraId="6EA02D57">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企业在申请工程勘察、工程设计、建筑业企业资质（含新申请、升级、延续、变更）时，不需提供人员社保证明材料。由资质申报企业的法定代表人对人员社保真实性、有效性签字承诺，并承担相应法律责任。</w:t>
      </w:r>
    </w:p>
    <w:p w14:paraId="791FFE43">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lang w:val="en-US" w:eastAsia="zh-CN"/>
        </w:rPr>
        <w:t>八、</w:t>
      </w:r>
      <w:r>
        <w:rPr>
          <w:rFonts w:hint="eastAsia" w:ascii="黑体" w:hAnsi="黑体" w:eastAsia="黑体" w:cs="黑体"/>
          <w:sz w:val="32"/>
          <w:szCs w:val="32"/>
          <w:highlight w:val="none"/>
        </w:rPr>
        <w:t>《住房城乡建设部办公厅关于取消建筑业企业最低等级资质标准现场管理人员指标考核的通知》</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rPr>
        <w:t>建办市〔2018〕53号</w:t>
      </w:r>
      <w:r>
        <w:rPr>
          <w:rFonts w:hint="eastAsia" w:ascii="黑体" w:hAnsi="黑体" w:eastAsia="黑体" w:cs="黑体"/>
          <w:sz w:val="32"/>
          <w:szCs w:val="32"/>
          <w:highlight w:val="none"/>
          <w:lang w:eastAsia="zh-CN"/>
        </w:rPr>
        <w:t>）</w:t>
      </w:r>
    </w:p>
    <w:p w14:paraId="119F2C58">
      <w:pPr>
        <w:keepNext w:val="0"/>
        <w:keepLines w:val="0"/>
        <w:pageBreakBefore w:val="0"/>
        <w:widowControl w:val="0"/>
        <w:kinsoku/>
        <w:wordWrap/>
        <w:overflowPunct/>
        <w:topLinePunct w:val="0"/>
        <w:autoSpaceDE/>
        <w:autoSpaceDN/>
        <w:bidi w:val="0"/>
        <w:adjustRightInd/>
        <w:spacing w:line="560" w:lineRule="exact"/>
        <w:ind w:firstLine="608" w:firstLineChars="200"/>
        <w:textAlignment w:val="auto"/>
        <w:rPr>
          <w:rFonts w:hint="eastAsia" w:ascii="仿宋_GB2312" w:hAnsi="仿宋_GB2312" w:eastAsia="仿宋_GB2312" w:cs="仿宋_GB2312"/>
          <w:spacing w:val="-6"/>
          <w:sz w:val="32"/>
          <w:szCs w:val="32"/>
          <w:highlight w:val="none"/>
        </w:rPr>
      </w:pPr>
      <w:r>
        <w:rPr>
          <w:rFonts w:hint="eastAsia" w:ascii="仿宋_GB2312" w:hAnsi="仿宋_GB2312" w:eastAsia="仿宋_GB2312" w:cs="仿宋_GB2312"/>
          <w:spacing w:val="-6"/>
          <w:sz w:val="32"/>
          <w:szCs w:val="32"/>
          <w:highlight w:val="none"/>
        </w:rPr>
        <w:t>为深入推进建筑业“放管服”改革，决定进一步简化《建筑业企业资质标准》（建市〔2014〕159号）部分指标，取消建筑业企业最低等级资质标准中关于持有岗位证书现场管理人员的指标考核。</w:t>
      </w:r>
    </w:p>
    <w:p w14:paraId="4FC466B2">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九、</w:t>
      </w:r>
      <w:r>
        <w:rPr>
          <w:rFonts w:hint="eastAsia" w:ascii="黑体" w:hAnsi="黑体" w:eastAsia="黑体" w:cs="黑体"/>
          <w:sz w:val="32"/>
          <w:szCs w:val="32"/>
          <w:highlight w:val="none"/>
        </w:rPr>
        <w:t xml:space="preserve">《住房和城乡建设部关于取消部分部门规章规范性文件设定的证明事项 </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rPr>
        <w:t>第二批</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rPr>
        <w:t xml:space="preserve"> 的决定》</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rPr>
        <w:t>建法规〔2020〕2号</w:t>
      </w:r>
      <w:r>
        <w:rPr>
          <w:rFonts w:hint="eastAsia" w:ascii="黑体" w:hAnsi="黑体" w:eastAsia="黑体" w:cs="黑体"/>
          <w:sz w:val="32"/>
          <w:szCs w:val="32"/>
          <w:highlight w:val="none"/>
          <w:lang w:eastAsia="zh-CN"/>
        </w:rPr>
        <w:t>）</w:t>
      </w:r>
    </w:p>
    <w:p w14:paraId="33C5C6E4">
      <w:pPr>
        <w:keepNext w:val="0"/>
        <w:keepLines w:val="0"/>
        <w:pageBreakBefore w:val="0"/>
        <w:widowControl w:val="0"/>
        <w:kinsoku/>
        <w:wordWrap/>
        <w:overflowPunct/>
        <w:topLinePunct w:val="0"/>
        <w:autoSpaceDE/>
        <w:autoSpaceDN/>
        <w:bidi w:val="0"/>
        <w:adjustRightInd/>
        <w:spacing w:line="560" w:lineRule="exact"/>
        <w:ind w:firstLine="608" w:firstLineChars="200"/>
        <w:textAlignment w:val="auto"/>
        <w:rPr>
          <w:rFonts w:hint="eastAsia" w:ascii="仿宋_GB2312" w:hAnsi="仿宋_GB2312" w:eastAsia="仿宋_GB2312" w:cs="仿宋_GB2312"/>
          <w:spacing w:val="-6"/>
          <w:sz w:val="32"/>
          <w:szCs w:val="32"/>
          <w:highlight w:val="none"/>
          <w:lang w:val="en-US" w:eastAsia="zh-CN"/>
        </w:rPr>
      </w:pPr>
      <w:r>
        <w:rPr>
          <w:rFonts w:hint="eastAsia" w:ascii="仿宋_GB2312" w:hAnsi="仿宋_GB2312" w:eastAsia="仿宋_GB2312" w:cs="仿宋_GB2312"/>
          <w:spacing w:val="-6"/>
          <w:sz w:val="32"/>
          <w:szCs w:val="32"/>
          <w:highlight w:val="none"/>
          <w:lang w:val="en-US" w:eastAsia="zh-CN"/>
        </w:rPr>
        <w:t>申请人不再提交社会保险证明，并向主管部门作出书面承诺。</w:t>
      </w:r>
    </w:p>
    <w:p w14:paraId="3E426C3D">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十、</w:t>
      </w:r>
      <w:r>
        <w:rPr>
          <w:rFonts w:hint="eastAsia" w:ascii="黑体" w:hAnsi="黑体" w:eastAsia="黑体" w:cs="黑体"/>
          <w:sz w:val="32"/>
          <w:szCs w:val="32"/>
          <w:highlight w:val="none"/>
        </w:rPr>
        <w:t>《住房和城乡建设部办公厅关于建设工程企业资质有关事宜的通知》</w:t>
      </w:r>
      <w:r>
        <w:rPr>
          <w:rFonts w:hint="eastAsia" w:ascii="黑体" w:hAnsi="黑体" w:eastAsia="黑体" w:cs="黑体"/>
          <w:sz w:val="32"/>
          <w:szCs w:val="32"/>
          <w:highlight w:val="none"/>
          <w:lang w:eastAsia="zh-CN"/>
        </w:rPr>
        <w:t>（</w:t>
      </w:r>
      <w:r>
        <w:rPr>
          <w:rFonts w:hint="eastAsia" w:ascii="黑体" w:hAnsi="黑体" w:eastAsia="黑体" w:cs="黑体"/>
          <w:sz w:val="32"/>
          <w:szCs w:val="32"/>
          <w:highlight w:val="none"/>
        </w:rPr>
        <w:t>建办市函〔2022〕361号</w:t>
      </w:r>
      <w:r>
        <w:rPr>
          <w:rFonts w:hint="eastAsia" w:ascii="黑体" w:hAnsi="黑体" w:eastAsia="黑体" w:cs="黑体"/>
          <w:sz w:val="32"/>
          <w:szCs w:val="32"/>
          <w:highlight w:val="none"/>
          <w:lang w:eastAsia="zh-CN"/>
        </w:rPr>
        <w:t>）</w:t>
      </w:r>
    </w:p>
    <w:p w14:paraId="53D1076D">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具有法人资格的企业可直接申请施工总承包、专业承包二级资质。企业按照新申请或增项提交相关材料，企业资产、技术负责人需满足《建筑业企业资质标准》（建市〔2014〕159号）规定的相应类别二级资质标准要求，其他指标需满足相应类别三级资质标准要求。</w:t>
      </w:r>
    </w:p>
    <w:p w14:paraId="634E5EB5">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持有施工总承包、专业承包三级资质的企业，可按照现行二级资质标准要求申请升级，也可按照上述要求直接申请二级资质。</w:t>
      </w:r>
    </w:p>
    <w:p w14:paraId="1266628B">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十一、《辽宁省住房和城乡建设厅关于贯彻落实住房城乡建设部〈建筑业企业资质管理规定〉及相关文件的意见》（辽住建发〔2015〕2号）</w:t>
      </w:r>
    </w:p>
    <w:p w14:paraId="1454C709">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（二）下列建筑业企业资质，由企业工商注册所在地省辖市（含绥中县、昌图县，下同）建设行政主管部门受理，由省住房城乡建设厅许可：</w:t>
      </w:r>
    </w:p>
    <w:p w14:paraId="359FABCC">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施工总承包资质序列二级资质及铁路、通信工程施工总承包三级资质；</w:t>
      </w:r>
    </w:p>
    <w:p w14:paraId="05194895">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专业承包资质序列一级资质（不含公路、水运、水利、铁路、民航方面的专业承包一级资质及涉及多个专业的专业承包一级资质）；</w:t>
      </w:r>
    </w:p>
    <w:p w14:paraId="7F6A3285">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cs="仿宋_GB2312"/>
          <w:sz w:val="32"/>
          <w:szCs w:val="32"/>
          <w:highlight w:val="none"/>
          <w:lang w:val="en-US" w:eastAsia="zh-CN"/>
        </w:rPr>
        <w:t>.</w:t>
      </w:r>
      <w:r>
        <w:rPr>
          <w:rFonts w:hint="eastAsia" w:ascii="仿宋_GB2312" w:hAnsi="仿宋_GB2312" w:eastAsia="仿宋_GB2312" w:cs="仿宋_GB2312"/>
          <w:sz w:val="32"/>
          <w:szCs w:val="32"/>
          <w:highlight w:val="none"/>
          <w:lang w:val="en-US" w:eastAsia="zh-CN"/>
        </w:rPr>
        <w:t>专业承包资质序列二级资质（不含铁路、民航方面的专业承包二级资质）；铁路方面专业承包三级资质；特种工程专业承包资质。</w:t>
      </w:r>
    </w:p>
    <w:p w14:paraId="4D11809A">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省辖市建设行政主管部门应当自受理申请之日起20个工作日内初审完毕，并将初审意见和申请材料报省住房城乡建设厅。注册地在我省的国务院国有资产管理部门直接监管的建筑业企业及其下属一层级的企业申请上述资质，同样按此程序申请。</w:t>
      </w:r>
    </w:p>
    <w:p w14:paraId="34AEB7A9">
      <w:pPr>
        <w:keepNext w:val="0"/>
        <w:keepLines w:val="0"/>
        <w:pageBreakBefore w:val="0"/>
        <w:widowControl w:val="0"/>
        <w:kinsoku/>
        <w:wordWrap/>
        <w:overflowPunct/>
        <w:topLinePunct w:val="0"/>
        <w:autoSpaceDE/>
        <w:autoSpaceDN/>
        <w:bidi w:val="0"/>
        <w:adjustRightInd/>
        <w:spacing w:line="560" w:lineRule="exact"/>
        <w:ind w:firstLine="608" w:firstLineChars="200"/>
        <w:textAlignment w:val="auto"/>
        <w:rPr>
          <w:rFonts w:hint="eastAsia" w:ascii="仿宋_GB2312" w:hAnsi="仿宋_GB2312" w:eastAsia="仿宋_GB2312" w:cs="仿宋_GB2312"/>
          <w:spacing w:val="-6"/>
          <w:sz w:val="32"/>
          <w:szCs w:val="32"/>
          <w:highlight w:val="none"/>
          <w:lang w:val="en-US" w:eastAsia="zh-CN"/>
        </w:rPr>
      </w:pPr>
      <w:r>
        <w:rPr>
          <w:rFonts w:hint="eastAsia" w:ascii="仿宋_GB2312" w:hAnsi="仿宋_GB2312" w:eastAsia="仿宋_GB2312" w:cs="仿宋_GB2312"/>
          <w:spacing w:val="-6"/>
          <w:sz w:val="32"/>
          <w:szCs w:val="32"/>
          <w:highlight w:val="none"/>
          <w:lang w:val="en-US" w:eastAsia="zh-CN"/>
        </w:rPr>
        <w:t>省住房城乡建设厅自受理申请材料之日起40个工作日内完成审查，公示审查意见，公示时间为10个工作日。公示后发布公告，公告后企业可办理取证相关事宜。其中，涉及公路、水运、水利、通信等方面资质的，由省住房城乡建设厅会同有关部门审查。</w:t>
      </w:r>
    </w:p>
    <w:p w14:paraId="3E36CFF2">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四）住房城乡建设部负责资质许可的建筑业企业资质申报材料原件由省住房城乡建设厅负责核对；省住房城乡建设厅负责资质许可的建筑业企业的中级及以上职称人员（涉及公路、水运、水利、通信等方面资质除外）、现场管理人员、技术工人及企业资产的审核，由市级建设行政主管部门负责。市级建设行政主管部门将审核结果与企业申报材料一并上报，省住房城乡建设厅将审核结果与企业基本信息一并在省住房城乡建设厅网站公示，并组织抽查。</w:t>
      </w:r>
    </w:p>
    <w:p w14:paraId="3C2F075A">
      <w:pPr>
        <w:keepNext w:val="0"/>
        <w:keepLines w:val="0"/>
        <w:pageBreakBefore w:val="0"/>
        <w:widowControl w:val="0"/>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十九）企业提供的全部申请材料必须真实，并对申请材料的真实性负责。资质受理机关核对企业提供的材料原件后在附件材料上加盖“原件与复印件相符”印章，并将原件退还企业。资质受理机关受理后，申报材料不得修改更换。资质许可机关对企业申报材料存疑的，企业应当提供相关材料原件和证明材料，必要时须配合相关部门进行实地核查。</w:t>
      </w:r>
    </w:p>
    <w:p w14:paraId="79332590">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sz w:val="32"/>
          <w:szCs w:val="32"/>
          <w:highlight w:val="none"/>
          <w:lang w:val="en-US" w:eastAsia="zh-CN"/>
        </w:rPr>
        <w:t>十二、</w:t>
      </w:r>
      <w:r>
        <w:rPr>
          <w:rFonts w:hint="eastAsia" w:ascii="黑体" w:hAnsi="黑体" w:eastAsia="黑体" w:cs="黑体"/>
          <w:color w:val="auto"/>
          <w:sz w:val="32"/>
          <w:szCs w:val="32"/>
          <w:highlight w:val="none"/>
          <w:lang w:val="en-US" w:eastAsia="zh-CN"/>
        </w:rPr>
        <w:t>《关于商请解决水利水电工程施工资质审批工作有关问题的复函》（辽住建审函〔2025〕1号）</w:t>
      </w:r>
    </w:p>
    <w:p w14:paraId="673A5456">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三、关于审查内容及审查主体</w:t>
      </w:r>
    </w:p>
    <w:p w14:paraId="6C63D87F">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color w:val="auto"/>
          <w:sz w:val="32"/>
          <w:szCs w:val="32"/>
          <w:highlight w:val="none"/>
          <w:lang w:val="en-US" w:eastAsia="zh-CN"/>
        </w:rPr>
      </w:pPr>
      <w:r>
        <w:rPr>
          <w:rFonts w:hint="default" w:ascii="仿宋_GB2312" w:hAnsi="仿宋_GB2312" w:eastAsia="仿宋_GB2312" w:cs="仿宋_GB2312"/>
          <w:color w:val="auto"/>
          <w:sz w:val="32"/>
          <w:szCs w:val="32"/>
          <w:highlight w:val="none"/>
          <w:lang w:val="en-US" w:eastAsia="zh-CN"/>
        </w:rPr>
        <w:t>根据《建筑业企业资质管理规定》和《住房城乡建设部关于进一步加强建设工程企业资质审批管理工作的通知》</w:t>
      </w:r>
      <w:r>
        <w:rPr>
          <w:rFonts w:hint="eastAsia" w:ascii="仿宋_GB2312" w:hAnsi="仿宋_GB2312" w:eastAsia="仿宋_GB2312" w:cs="仿宋_GB2312"/>
          <w:color w:val="auto"/>
          <w:sz w:val="32"/>
          <w:szCs w:val="32"/>
          <w:highlight w:val="none"/>
          <w:lang w:val="en-US" w:eastAsia="zh-CN"/>
        </w:rPr>
        <w:t>（</w:t>
      </w:r>
      <w:r>
        <w:rPr>
          <w:rFonts w:hint="default" w:ascii="仿宋_GB2312" w:hAnsi="仿宋_GB2312" w:eastAsia="仿宋_GB2312" w:cs="仿宋_GB2312"/>
          <w:color w:val="auto"/>
          <w:sz w:val="32"/>
          <w:szCs w:val="32"/>
          <w:highlight w:val="none"/>
          <w:lang w:val="en-US" w:eastAsia="zh-CN"/>
        </w:rPr>
        <w:t>建市规</w:t>
      </w:r>
      <w:r>
        <w:rPr>
          <w:rFonts w:hint="eastAsia" w:ascii="仿宋_GB2312" w:hAnsi="仿宋_GB2312" w:eastAsia="仿宋_GB2312" w:cs="仿宋_GB2312"/>
          <w:color w:val="auto"/>
          <w:sz w:val="32"/>
          <w:szCs w:val="32"/>
          <w:highlight w:val="none"/>
          <w:lang w:val="en-US" w:eastAsia="zh-CN"/>
        </w:rPr>
        <w:t>〔2023〕3号）</w:t>
      </w:r>
      <w:r>
        <w:rPr>
          <w:rFonts w:hint="default" w:ascii="仿宋_GB2312" w:hAnsi="仿宋_GB2312" w:eastAsia="仿宋_GB2312" w:cs="仿宋_GB2312"/>
          <w:color w:val="auto"/>
          <w:sz w:val="32"/>
          <w:szCs w:val="32"/>
          <w:highlight w:val="none"/>
          <w:lang w:val="en-US" w:eastAsia="zh-CN"/>
        </w:rPr>
        <w:t>等有关规定，涉及水利施工资质设立、升级和增项的行政许可，由我厅会同贵厅审查。为确保省内水利行业相关资质审查内容的一致性，</w:t>
      </w:r>
      <w:r>
        <w:rPr>
          <w:rFonts w:hint="eastAsia" w:ascii="仿宋_GB2312" w:hAnsi="仿宋_GB2312" w:eastAsia="仿宋_GB2312" w:cs="仿宋_GB2312"/>
          <w:color w:val="auto"/>
          <w:sz w:val="32"/>
          <w:szCs w:val="32"/>
          <w:highlight w:val="none"/>
          <w:lang w:val="en-US" w:eastAsia="zh-CN"/>
        </w:rPr>
        <w:t>简化</w:t>
      </w:r>
      <w:r>
        <w:rPr>
          <w:rFonts w:hint="default" w:ascii="仿宋_GB2312" w:hAnsi="仿宋_GB2312" w:eastAsia="仿宋_GB2312" w:cs="仿宋_GB2312"/>
          <w:color w:val="auto"/>
          <w:sz w:val="32"/>
          <w:szCs w:val="32"/>
          <w:highlight w:val="none"/>
          <w:lang w:val="en-US" w:eastAsia="zh-CN"/>
        </w:rPr>
        <w:t>技术审核环节，经研究，由我厅负责许可的水利施工资质，其资质设立、升级和增项行政许可的申报材料，由我厅受理后转交贵厅对申报材料进行审查，具体审查内容为企业资产，企业业绩，技术负责人资历、业绩，注册执业人员、技术职称人员和技术工人的数量、专业、社会保险缴纳，以及企业技术装备等五个方面。贵厅将审查意见反馈我厅后，由我厅进行公示并接受申请人申诉，相关材料转贵厅再次确认后进行公告。</w:t>
      </w:r>
    </w:p>
    <w:p w14:paraId="2B83210F">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color w:val="FF0000"/>
          <w:sz w:val="32"/>
          <w:szCs w:val="32"/>
          <w:highlight w:val="none"/>
          <w:lang w:val="en-US" w:eastAsia="zh-CN"/>
        </w:rPr>
      </w:pPr>
    </w:p>
    <w:p w14:paraId="2E0505B9">
      <w:pPr>
        <w:keepNext w:val="0"/>
        <w:keepLines w:val="0"/>
        <w:pageBreakBefore w:val="0"/>
        <w:widowControl w:val="0"/>
        <w:kinsoku/>
        <w:wordWrap/>
        <w:overflowPunct/>
        <w:topLinePunct w:val="0"/>
        <w:autoSpaceDE/>
        <w:autoSpaceDN/>
        <w:bidi w:val="0"/>
        <w:adjustRightInd/>
        <w:spacing w:line="560" w:lineRule="exact"/>
        <w:textAlignment w:val="auto"/>
        <w:rPr>
          <w:rFonts w:ascii="Calibri" w:hAnsi="Calibri" w:eastAsia="宋体" w:cs="Times New Roman"/>
          <w:highlight w:val="none"/>
        </w:rPr>
      </w:pPr>
    </w:p>
    <w:p w14:paraId="2826C700">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textAlignment w:val="auto"/>
        <w:rPr>
          <w:rFonts w:hint="default" w:ascii="仿宋_GB2312" w:hAnsi="Calibri" w:eastAsia="仿宋_GB2312" w:cs="仿宋_GB2312"/>
          <w:i w:val="0"/>
          <w:caps w:val="0"/>
          <w:color w:val="000000"/>
          <w:spacing w:val="0"/>
          <w:sz w:val="32"/>
          <w:szCs w:val="32"/>
          <w:highlight w:val="none"/>
          <w:shd w:val="clear" w:color="auto" w:fill="FFFFFF"/>
          <w:lang w:val="en-US" w:eastAsia="zh-CN"/>
        </w:rPr>
      </w:pPr>
    </w:p>
    <w:p w14:paraId="2C941C86">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hint="default" w:ascii="Calibri" w:hAnsi="Calibri" w:eastAsia="宋体" w:cs="Times New Roman"/>
          <w:kern w:val="2"/>
          <w:sz w:val="18"/>
          <w:szCs w:val="24"/>
          <w:highlight w:val="none"/>
          <w:lang w:val="en-US" w:eastAsia="zh-CN" w:bidi="ar-SA"/>
        </w:rPr>
      </w:pPr>
    </w:p>
    <w:p w14:paraId="435FAF16">
      <w:pPr>
        <w:rPr>
          <w:rFonts w:hint="eastAsia" w:ascii="Calibri" w:hAnsi="Calibri" w:eastAsia="宋体" w:cs="Times New Roman"/>
          <w:highlight w:val="none"/>
          <w:lang w:val="en-US" w:eastAsia="zh-CN"/>
        </w:rPr>
      </w:pPr>
    </w:p>
    <w:p w14:paraId="5AEF37B4">
      <w:pPr>
        <w:rPr>
          <w:rFonts w:hint="eastAsia" w:ascii="Calibri" w:hAnsi="Calibri" w:eastAsia="宋体" w:cs="Times New Roman"/>
          <w:highlight w:val="none"/>
          <w:lang w:val="en-US" w:eastAsia="zh-CN"/>
        </w:rPr>
      </w:pPr>
    </w:p>
    <w:p w14:paraId="2BDF25F4">
      <w:pPr>
        <w:rPr>
          <w:rFonts w:hint="eastAsia" w:ascii="Calibri" w:hAnsi="Calibri" w:eastAsia="宋体" w:cs="Times New Roman"/>
          <w:highlight w:val="none"/>
          <w:lang w:val="en-US" w:eastAsia="zh-CN"/>
        </w:rPr>
      </w:pPr>
    </w:p>
    <w:p w14:paraId="43170352">
      <w:pPr>
        <w:rPr>
          <w:rFonts w:hint="eastAsia" w:ascii="Calibri" w:hAnsi="Calibri" w:eastAsia="宋体" w:cs="Times New Roman"/>
          <w:highlight w:val="none"/>
          <w:lang w:val="en-US" w:eastAsia="zh-CN"/>
        </w:rPr>
      </w:pPr>
    </w:p>
    <w:p w14:paraId="13FE4ADA">
      <w:pPr>
        <w:rPr>
          <w:rFonts w:hint="eastAsia" w:ascii="Calibri" w:hAnsi="Calibri" w:eastAsia="宋体" w:cs="Times New Roman"/>
          <w:highlight w:val="none"/>
          <w:lang w:val="en-US" w:eastAsia="zh-CN"/>
        </w:rPr>
      </w:pPr>
    </w:p>
    <w:p w14:paraId="46DBB6DF">
      <w:pPr>
        <w:rPr>
          <w:rFonts w:hint="eastAsia" w:ascii="Calibri" w:hAnsi="Calibri" w:eastAsia="宋体" w:cs="Times New Roman"/>
          <w:highlight w:val="none"/>
          <w:lang w:val="en-US" w:eastAsia="zh-CN"/>
        </w:rPr>
      </w:pPr>
    </w:p>
    <w:p w14:paraId="02320A91">
      <w:pPr>
        <w:keepNext w:val="0"/>
        <w:keepLines w:val="0"/>
        <w:pageBreakBefore w:val="0"/>
        <w:widowControl w:val="0"/>
        <w:numPr>
          <w:ilvl w:val="0"/>
          <w:numId w:val="0"/>
        </w:numPr>
        <w:kinsoku/>
        <w:wordWrap/>
        <w:overflowPunct/>
        <w:topLinePunct w:val="0"/>
        <w:autoSpaceDE/>
        <w:autoSpaceDN/>
        <w:bidi w:val="0"/>
        <w:adjustRightInd/>
        <w:spacing w:line="560" w:lineRule="exac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附件2-1</w:t>
      </w:r>
    </w:p>
    <w:p w14:paraId="72AE4EE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hint="eastAsia" w:ascii="Calibri" w:hAnsi="Calibri" w:eastAsia="宋体" w:cs="Times New Roman"/>
          <w:kern w:val="2"/>
          <w:sz w:val="18"/>
          <w:szCs w:val="24"/>
          <w:highlight w:val="none"/>
          <w:lang w:val="en-US" w:eastAsia="zh-CN" w:bidi="ar-SA"/>
        </w:rPr>
      </w:pPr>
    </w:p>
    <w:p w14:paraId="77104636">
      <w:pPr>
        <w:keepNext w:val="0"/>
        <w:keepLines w:val="0"/>
        <w:pageBreakBefore w:val="0"/>
        <w:widowControl w:val="0"/>
        <w:numPr>
          <w:ilvl w:val="0"/>
          <w:numId w:val="0"/>
        </w:numPr>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关于开展XXXX年第X批</w:t>
      </w:r>
      <w:r>
        <w:rPr>
          <w:rFonts w:hint="eastAsia" w:ascii="方正小标宋简体" w:hAnsi="方正小标宋简体" w:eastAsia="方正小标宋简体" w:cs="方正小标宋简体"/>
          <w:sz w:val="44"/>
          <w:szCs w:val="44"/>
          <w:highlight w:val="none"/>
          <w:lang w:eastAsia="zh-CN"/>
        </w:rPr>
        <w:t>水利</w:t>
      </w:r>
      <w:r>
        <w:rPr>
          <w:rFonts w:hint="eastAsia" w:ascii="方正小标宋简体" w:hAnsi="方正小标宋简体" w:eastAsia="方正小标宋简体" w:cs="方正小标宋简体"/>
          <w:sz w:val="44"/>
          <w:szCs w:val="44"/>
          <w:highlight w:val="none"/>
          <w:lang w:val="en-US" w:eastAsia="zh-CN"/>
        </w:rPr>
        <w:t>水电工程</w:t>
      </w:r>
    </w:p>
    <w:p w14:paraId="2BB81B3A">
      <w:pPr>
        <w:keepNext w:val="0"/>
        <w:keepLines w:val="0"/>
        <w:pageBreakBefore w:val="0"/>
        <w:widowControl w:val="0"/>
        <w:numPr>
          <w:ilvl w:val="0"/>
          <w:numId w:val="0"/>
        </w:numPr>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eastAsia="zh-CN"/>
        </w:rPr>
        <w:t>施工资质</w:t>
      </w:r>
      <w:r>
        <w:rPr>
          <w:rFonts w:hint="eastAsia" w:ascii="方正小标宋简体" w:hAnsi="方正小标宋简体" w:eastAsia="方正小标宋简体" w:cs="方正小标宋简体"/>
          <w:sz w:val="44"/>
          <w:szCs w:val="44"/>
          <w:highlight w:val="none"/>
          <w:lang w:val="en-US" w:eastAsia="zh-CN"/>
        </w:rPr>
        <w:t>行业审查的通知</w:t>
      </w:r>
    </w:p>
    <w:p w14:paraId="7BBDA76D">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hint="eastAsia" w:ascii="方正小标宋简体" w:hAnsi="方正小标宋简体" w:eastAsia="方正小标宋简体" w:cs="方正小标宋简体"/>
          <w:kern w:val="2"/>
          <w:sz w:val="44"/>
          <w:szCs w:val="44"/>
          <w:highlight w:val="none"/>
          <w:lang w:val="en-US" w:eastAsia="zh-CN" w:bidi="ar-SA"/>
        </w:rPr>
      </w:pPr>
    </w:p>
    <w:p w14:paraId="53CA6BB8">
      <w:pPr>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各有关专家：</w:t>
      </w:r>
    </w:p>
    <w:p w14:paraId="3FCF5F10">
      <w:pPr>
        <w:ind w:firstLine="64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XXXX年XX月（XX日-XX日），辽宁省水利厅收到辽宁省住房和城乡建设厅转来的XXXX公司等XX项水利水电工程施工资质申请材料，按照《建筑业企业资质管理规定》要求，省水利厅建设与运行管理处决定开展XXXX年第XX批水利水电工程施工资质行业审查工作，现将有关事项通知如下：</w:t>
      </w:r>
    </w:p>
    <w:p w14:paraId="58C5E0EA">
      <w:pPr>
        <w:ind w:firstLine="640"/>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一、审查对象</w:t>
      </w:r>
    </w:p>
    <w:p w14:paraId="335B07DF">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1.XXXX公司：建筑业企业资质认定（总承包特级、一级及部分专业一级除外）－资质增项－水利水电工程施工总承包二级</w:t>
      </w:r>
    </w:p>
    <w:p w14:paraId="589A7159">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2.XXXX公司：建筑业企业资质认定（总承包特级、一级及部分专业一级除外）－资质设立－水利水电工程施工总承包二级</w:t>
      </w:r>
    </w:p>
    <w:p w14:paraId="5201A560">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3.XXXX公司：陈述意见</w:t>
      </w:r>
    </w:p>
    <w:p w14:paraId="453F4BC8">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w:t>
      </w:r>
    </w:p>
    <w:p w14:paraId="0163D426">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32"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二、专家审查时间</w:t>
      </w:r>
    </w:p>
    <w:p w14:paraId="35DBDF57">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XXXX年XX月XX日-XX日</w:t>
      </w:r>
    </w:p>
    <w:p w14:paraId="36EC00A6">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32"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审查会议的时间和地点视专家审查进度另行通知</w:t>
      </w:r>
    </w:p>
    <w:p w14:paraId="76C9D970">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三、审查内容</w:t>
      </w:r>
    </w:p>
    <w:p w14:paraId="4F1E9A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kern w:val="2"/>
          <w:sz w:val="32"/>
          <w:szCs w:val="32"/>
          <w:highlight w:val="none"/>
          <w:lang w:val="en-US" w:eastAsia="zh-CN" w:bidi="ar-SA"/>
        </w:rPr>
        <w:t>1.</w:t>
      </w:r>
      <w:r>
        <w:rPr>
          <w:rFonts w:hint="eastAsia" w:ascii="仿宋_GB2312" w:hAnsi="仿宋_GB2312" w:eastAsia="仿宋_GB2312" w:cs="仿宋_GB2312"/>
          <w:b w:val="0"/>
          <w:bCs w:val="0"/>
          <w:sz w:val="32"/>
          <w:szCs w:val="32"/>
          <w:highlight w:val="none"/>
          <w:lang w:val="en-US" w:eastAsia="zh-CN"/>
        </w:rPr>
        <w:t>企业资产情况。</w:t>
      </w:r>
    </w:p>
    <w:p w14:paraId="7C7977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kern w:val="2"/>
          <w:sz w:val="32"/>
          <w:szCs w:val="32"/>
          <w:highlight w:val="none"/>
          <w:lang w:val="en-US" w:eastAsia="zh-CN" w:bidi="ar-SA"/>
        </w:rPr>
        <w:t>2.</w:t>
      </w:r>
      <w:r>
        <w:rPr>
          <w:rFonts w:hint="eastAsia" w:ascii="仿宋_GB2312" w:hAnsi="仿宋_GB2312" w:eastAsia="仿宋_GB2312" w:cs="仿宋_GB2312"/>
          <w:b w:val="0"/>
          <w:bCs w:val="0"/>
          <w:sz w:val="32"/>
          <w:szCs w:val="32"/>
          <w:highlight w:val="none"/>
          <w:lang w:val="en-US" w:eastAsia="zh-CN"/>
        </w:rPr>
        <w:t>企业业绩情况。</w:t>
      </w:r>
    </w:p>
    <w:p w14:paraId="38EBDA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kern w:val="2"/>
          <w:sz w:val="32"/>
          <w:szCs w:val="32"/>
          <w:highlight w:val="none"/>
          <w:lang w:val="en-US" w:eastAsia="zh-CN" w:bidi="ar-SA"/>
        </w:rPr>
        <w:t>3.</w:t>
      </w:r>
      <w:r>
        <w:rPr>
          <w:rFonts w:hint="eastAsia" w:ascii="仿宋_GB2312" w:hAnsi="仿宋_GB2312" w:eastAsia="仿宋_GB2312" w:cs="仿宋_GB2312"/>
          <w:b w:val="0"/>
          <w:bCs w:val="0"/>
          <w:sz w:val="32"/>
          <w:szCs w:val="32"/>
          <w:highlight w:val="none"/>
          <w:lang w:val="en-US" w:eastAsia="zh-CN"/>
        </w:rPr>
        <w:t>技术负责人资历、业绩情况。</w:t>
      </w:r>
    </w:p>
    <w:p w14:paraId="150338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kern w:val="2"/>
          <w:sz w:val="32"/>
          <w:szCs w:val="32"/>
          <w:highlight w:val="none"/>
          <w:lang w:val="en-US" w:eastAsia="zh-CN" w:bidi="ar-SA"/>
        </w:rPr>
        <w:t>4.</w:t>
      </w:r>
      <w:r>
        <w:rPr>
          <w:rFonts w:hint="eastAsia" w:ascii="仿宋_GB2312" w:hAnsi="仿宋_GB2312" w:eastAsia="仿宋_GB2312" w:cs="仿宋_GB2312"/>
          <w:b w:val="0"/>
          <w:bCs w:val="0"/>
          <w:sz w:val="32"/>
          <w:szCs w:val="32"/>
          <w:highlight w:val="none"/>
          <w:lang w:val="en-US" w:eastAsia="zh-CN"/>
        </w:rPr>
        <w:t>注册执业人员、技术职称人员和技术工人的数量、专业、社会保险缴纳情况。</w:t>
      </w:r>
    </w:p>
    <w:p w14:paraId="285749B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kern w:val="2"/>
          <w:sz w:val="32"/>
          <w:szCs w:val="32"/>
          <w:highlight w:val="none"/>
          <w:lang w:val="en-US" w:eastAsia="zh-CN" w:bidi="ar-SA"/>
        </w:rPr>
        <w:t>5.</w:t>
      </w:r>
      <w:r>
        <w:rPr>
          <w:rFonts w:hint="eastAsia" w:ascii="仿宋_GB2312" w:hAnsi="仿宋_GB2312" w:eastAsia="仿宋_GB2312" w:cs="仿宋_GB2312"/>
          <w:b w:val="0"/>
          <w:bCs w:val="0"/>
          <w:sz w:val="32"/>
          <w:szCs w:val="32"/>
          <w:highlight w:val="none"/>
          <w:lang w:val="en-US" w:eastAsia="zh-CN"/>
        </w:rPr>
        <w:t>技术装备情况。</w:t>
      </w:r>
    </w:p>
    <w:p w14:paraId="0AE798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kern w:val="2"/>
          <w:sz w:val="32"/>
          <w:szCs w:val="32"/>
          <w:highlight w:val="none"/>
          <w:lang w:val="en-US" w:eastAsia="zh-CN" w:bidi="ar-SA"/>
        </w:rPr>
        <w:t>6.</w:t>
      </w:r>
      <w:r>
        <w:rPr>
          <w:rFonts w:hint="eastAsia" w:ascii="仿宋_GB2312" w:hAnsi="仿宋_GB2312" w:eastAsia="仿宋_GB2312" w:cs="仿宋_GB2312"/>
          <w:b w:val="0"/>
          <w:bCs w:val="0"/>
          <w:sz w:val="32"/>
          <w:szCs w:val="32"/>
          <w:highlight w:val="none"/>
          <w:lang w:val="en-US" w:eastAsia="zh-CN"/>
        </w:rPr>
        <w:t>企业针对行业审查意见提交的陈述材料（如有）。</w:t>
      </w:r>
    </w:p>
    <w:p w14:paraId="0EFD7AAB">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32" w:firstLineChars="200"/>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四、有关要求</w:t>
      </w:r>
    </w:p>
    <w:p w14:paraId="36679E99">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1.审查专家应严格遵守国家法律法规、廉洁自律各项规定要求，秉持客观、公正、严谨的原则开展审查工作，独立出具审查意见，对所审查内容的真实性、合规性负责。</w:t>
      </w:r>
    </w:p>
    <w:p w14:paraId="6D7CF538">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2.审查期间，专家需按时参加审查会议及相关活动，不得无故缺席、迟到、早退。因特殊情况无法参加的，应提前向省水利厅建管处请假并说明原因。</w:t>
      </w:r>
    </w:p>
    <w:p w14:paraId="4F006094">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审查专家应认真研读申报材料，对照《建筑业企业资质标准》及相关政策文件，逐项进行审查，详细记录审查发现的问题，并在规定时间内完成审查意见的填写与提交。审查意见应明确具体，有理有据，避免模糊表述。</w:t>
      </w:r>
    </w:p>
    <w:p w14:paraId="4DE523C1">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4.审查专家在审查过程中如遇疑难问题或政策界定不清的情况，应及时与省水利厅建管处沟通，不得擅自作出主观判断或随意放宽审查标准。</w:t>
      </w:r>
    </w:p>
    <w:p w14:paraId="67C858EB">
      <w:pPr>
        <w:keepNext w:val="0"/>
        <w:keepLines w:val="0"/>
        <w:pageBreakBefore w:val="0"/>
        <w:widowControl w:val="0"/>
        <w:numPr>
          <w:ilvl w:val="0"/>
          <w:numId w:val="0"/>
        </w:numPr>
        <w:kinsoku/>
        <w:wordWrap/>
        <w:overflowPunct/>
        <w:topLinePunct w:val="0"/>
        <w:autoSpaceDE/>
        <w:autoSpaceDN/>
        <w:bidi w:val="0"/>
        <w:adjustRightInd/>
        <w:spacing w:line="560" w:lineRule="exact"/>
        <w:ind w:firstLine="632"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5.审查专家不得利用审查工作谋私，不收受利益相关方的财物或宴请，自觉接受省水利厅的监督管理，接受社会各方的监督。</w:t>
      </w:r>
    </w:p>
    <w:p w14:paraId="30DE6919">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32" w:firstLineChars="200"/>
        <w:textAlignment w:val="auto"/>
        <w:rPr>
          <w:rFonts w:hint="default"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6.审查专家应遵守《中华人民共和国保守国家秘密法》和有关保密法规，严格执行保密规章制度和保密纪律，履行保密义务，对参与审查知悉的国家秘密、工作秘密、商业秘密以及其他不应公开的信息做好保密工作。</w:t>
      </w:r>
    </w:p>
    <w:p w14:paraId="2C8CA686">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32" w:firstLineChars="200"/>
        <w:textAlignment w:val="auto"/>
        <w:rPr>
          <w:rFonts w:hint="eastAsia" w:ascii="仿宋" w:hAnsi="仿宋" w:eastAsia="仿宋" w:cs="仿宋"/>
          <w:sz w:val="32"/>
          <w:szCs w:val="32"/>
          <w:highlight w:val="none"/>
          <w:lang w:val="en-US" w:eastAsia="zh-CN"/>
        </w:rPr>
      </w:pPr>
    </w:p>
    <w:p w14:paraId="65D63943">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32" w:firstLineChars="200"/>
        <w:textAlignment w:val="auto"/>
        <w:rPr>
          <w:rFonts w:hint="eastAsia" w:ascii="仿宋" w:hAnsi="仿宋" w:eastAsia="仿宋" w:cs="仿宋"/>
          <w:sz w:val="32"/>
          <w:szCs w:val="32"/>
          <w:highlight w:val="none"/>
          <w:lang w:val="en-US" w:eastAsia="zh-CN"/>
        </w:rPr>
      </w:pPr>
    </w:p>
    <w:p w14:paraId="5AE4AA1A">
      <w:pPr>
        <w:keepNext w:val="0"/>
        <w:keepLines w:val="0"/>
        <w:pageBreakBefore w:val="0"/>
        <w:widowControl w:val="0"/>
        <w:kinsoku/>
        <w:wordWrap/>
        <w:overflowPunct/>
        <w:topLinePunct w:val="0"/>
        <w:autoSpaceDE/>
        <w:autoSpaceDN/>
        <w:bidi w:val="0"/>
        <w:adjustRightInd/>
        <w:snapToGrid/>
        <w:spacing w:line="560" w:lineRule="exact"/>
        <w:ind w:right="0" w:rightChars="0" w:firstLine="3160" w:firstLineChars="1000"/>
        <w:jc w:val="both"/>
        <w:textAlignment w:val="auto"/>
        <w:outlineLvl w:val="9"/>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辽宁省水利厅建设与运行管理处</w:t>
      </w:r>
    </w:p>
    <w:p w14:paraId="7FF4AF6E">
      <w:pPr>
        <w:keepNext w:val="0"/>
        <w:keepLines w:val="0"/>
        <w:pageBreakBefore w:val="0"/>
        <w:widowControl w:val="0"/>
        <w:numPr>
          <w:ilvl w:val="0"/>
          <w:numId w:val="0"/>
        </w:numPr>
        <w:kinsoku/>
        <w:wordWrap/>
        <w:overflowPunct/>
        <w:topLinePunct w:val="0"/>
        <w:autoSpaceDE/>
        <w:autoSpaceDN/>
        <w:bidi w:val="0"/>
        <w:adjustRightInd/>
        <w:spacing w:line="560" w:lineRule="exact"/>
        <w:ind w:firstLine="4424" w:firstLineChars="1400"/>
        <w:textAlignment w:val="auto"/>
        <w:rPr>
          <w:rFonts w:hint="eastAsia" w:ascii="仿宋" w:hAnsi="仿宋" w:eastAsia="仿宋" w:cs="仿宋"/>
          <w:sz w:val="32"/>
          <w:szCs w:val="32"/>
          <w:highlight w:val="none"/>
          <w:lang w:val="en-US" w:eastAsia="zh-CN"/>
        </w:rPr>
      </w:pPr>
      <w:r>
        <w:rPr>
          <w:rFonts w:hint="eastAsia" w:ascii="仿宋_GB2312" w:hAnsi="仿宋_GB2312" w:eastAsia="仿宋_GB2312" w:cs="仿宋_GB2312"/>
          <w:sz w:val="32"/>
          <w:szCs w:val="32"/>
          <w:highlight w:val="none"/>
          <w:lang w:val="en-US" w:eastAsia="zh-CN"/>
        </w:rPr>
        <w:t>XXXX年XX月XX日</w:t>
      </w:r>
    </w:p>
    <w:p w14:paraId="41D1B196">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32" w:firstLineChars="200"/>
        <w:textAlignment w:val="auto"/>
        <w:rPr>
          <w:rFonts w:hint="eastAsia" w:ascii="仿宋" w:hAnsi="仿宋" w:eastAsia="仿宋" w:cs="仿宋"/>
          <w:sz w:val="32"/>
          <w:szCs w:val="32"/>
          <w:highlight w:val="none"/>
          <w:lang w:val="en-US" w:eastAsia="zh-CN"/>
        </w:rPr>
      </w:pPr>
    </w:p>
    <w:p w14:paraId="713C1933">
      <w:pPr>
        <w:keepNext w:val="0"/>
        <w:keepLines w:val="0"/>
        <w:pageBreakBefore w:val="0"/>
        <w:widowControl w:val="0"/>
        <w:numPr>
          <w:ilvl w:val="0"/>
          <w:numId w:val="0"/>
        </w:numPr>
        <w:kinsoku/>
        <w:wordWrap/>
        <w:overflowPunct/>
        <w:topLinePunct w:val="0"/>
        <w:autoSpaceDE/>
        <w:autoSpaceDN/>
        <w:bidi w:val="0"/>
        <w:adjustRightInd/>
        <w:spacing w:line="560" w:lineRule="exact"/>
        <w:textAlignment w:val="auto"/>
        <w:rPr>
          <w:rFonts w:hint="eastAsia" w:ascii="黑体" w:hAnsi="黑体" w:eastAsia="黑体" w:cs="黑体"/>
          <w:sz w:val="32"/>
          <w:szCs w:val="32"/>
          <w:highlight w:val="none"/>
          <w:lang w:val="en-US" w:eastAsia="zh-CN"/>
        </w:rPr>
        <w:sectPr>
          <w:headerReference r:id="rId3" w:type="default"/>
          <w:footerReference r:id="rId4" w:type="default"/>
          <w:footerReference r:id="rId5" w:type="even"/>
          <w:pgSz w:w="11907" w:h="16840"/>
          <w:pgMar w:top="2098" w:right="1474" w:bottom="1985" w:left="1588" w:header="851" w:footer="1588" w:gutter="0"/>
          <w:pgNumType w:fmt="numberInDash"/>
          <w:cols w:space="720" w:num="1"/>
          <w:docGrid w:type="linesAndChars" w:linePitch="579" w:charSpace="-842"/>
        </w:sectPr>
      </w:pPr>
    </w:p>
    <w:p w14:paraId="1199145A">
      <w:pPr>
        <w:keepNext w:val="0"/>
        <w:keepLines w:val="0"/>
        <w:pageBreakBefore w:val="0"/>
        <w:widowControl w:val="0"/>
        <w:numPr>
          <w:ilvl w:val="0"/>
          <w:numId w:val="0"/>
        </w:numPr>
        <w:kinsoku/>
        <w:wordWrap/>
        <w:overflowPunct/>
        <w:topLinePunct w:val="0"/>
        <w:autoSpaceDE/>
        <w:autoSpaceDN/>
        <w:bidi w:val="0"/>
        <w:adjustRightInd/>
        <w:spacing w:line="560" w:lineRule="exac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附件2-2</w:t>
      </w:r>
    </w:p>
    <w:tbl>
      <w:tblPr>
        <w:tblStyle w:val="4"/>
        <w:tblW w:w="1400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10"/>
        <w:gridCol w:w="5748"/>
        <w:gridCol w:w="2496"/>
        <w:gridCol w:w="4452"/>
      </w:tblGrid>
      <w:tr w14:paraId="0652D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4006" w:type="dxa"/>
            <w:gridSpan w:val="4"/>
            <w:tcBorders>
              <w:top w:val="nil"/>
              <w:left w:val="nil"/>
              <w:bottom w:val="nil"/>
              <w:right w:val="nil"/>
            </w:tcBorders>
            <w:vAlign w:val="center"/>
          </w:tcPr>
          <w:p w14:paraId="5F096AEC">
            <w:pPr>
              <w:keepNext w:val="0"/>
              <w:keepLines w:val="0"/>
              <w:pageBreakBefore w:val="0"/>
              <w:widowControl/>
              <w:suppressLineNumbers w:val="0"/>
              <w:kinsoku/>
              <w:wordWrap/>
              <w:overflowPunct/>
              <w:topLinePunct w:val="0"/>
              <w:autoSpaceDE/>
              <w:autoSpaceDN/>
              <w:bidi w:val="0"/>
              <w:adjustRightInd/>
              <w:snapToGrid w:val="0"/>
              <w:spacing w:line="340" w:lineRule="exact"/>
              <w:jc w:val="center"/>
              <w:textAlignment w:val="center"/>
              <w:rPr>
                <w:rFonts w:hint="eastAsia" w:ascii="宋体" w:hAnsi="宋体" w:eastAsia="宋体" w:cs="宋体"/>
                <w:i w:val="0"/>
                <w:iCs w:val="0"/>
                <w:color w:val="000000"/>
                <w:sz w:val="40"/>
                <w:szCs w:val="40"/>
                <w:highlight w:val="none"/>
                <w:u w:val="none"/>
              </w:rPr>
            </w:pPr>
            <w:r>
              <w:rPr>
                <w:rFonts w:hint="eastAsia" w:ascii="方正小标宋简体" w:hAnsi="方正小标宋简体" w:eastAsia="方正小标宋简体" w:cs="方正小标宋简体"/>
                <w:color w:val="000000"/>
                <w:sz w:val="32"/>
                <w:szCs w:val="32"/>
                <w:highlight w:val="none"/>
                <w:u w:val="none"/>
                <w:lang w:val="en-US" w:eastAsia="zh-CN" w:bidi="ar"/>
              </w:rPr>
              <w:t>水利水电工程施工企业资质核查单</w:t>
            </w:r>
            <w:r>
              <w:rPr>
                <w:rFonts w:hint="eastAsia" w:ascii="方正小标宋简体" w:hAnsi="方正小标宋简体" w:eastAsia="方正小标宋简体" w:cs="方正小标宋简体"/>
                <w:color w:val="000000"/>
                <w:sz w:val="32"/>
                <w:szCs w:val="32"/>
                <w:highlight w:val="none"/>
                <w:u w:val="none"/>
                <w:lang w:val="en-US" w:eastAsia="zh-CN" w:bidi="ar"/>
              </w:rPr>
              <w:br w:type="textWrapping"/>
            </w:r>
            <w:r>
              <w:rPr>
                <w:rFonts w:ascii="等线" w:hAnsi="等线" w:eastAsia="等线" w:cs="等线"/>
                <w:color w:val="000000"/>
                <w:sz w:val="18"/>
                <w:szCs w:val="18"/>
                <w:highlight w:val="none"/>
                <w:u w:val="none"/>
                <w:lang w:val="en-US" w:eastAsia="zh-CN" w:bidi="ar"/>
              </w:rPr>
              <w:t>（水利水电工程施工总承包二级，适用于以技术负责人业绩申报）</w:t>
            </w:r>
          </w:p>
        </w:tc>
      </w:tr>
      <w:tr w14:paraId="0C8BE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58" w:type="dxa"/>
            <w:gridSpan w:val="2"/>
            <w:tcBorders>
              <w:top w:val="nil"/>
              <w:left w:val="nil"/>
              <w:bottom w:val="nil"/>
              <w:right w:val="nil"/>
            </w:tcBorders>
            <w:vAlign w:val="center"/>
          </w:tcPr>
          <w:p w14:paraId="20E7325D">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申报企业名称：</w:t>
            </w:r>
          </w:p>
        </w:tc>
        <w:tc>
          <w:tcPr>
            <w:tcW w:w="2496" w:type="dxa"/>
            <w:tcBorders>
              <w:top w:val="nil"/>
              <w:left w:val="nil"/>
              <w:bottom w:val="nil"/>
              <w:right w:val="nil"/>
            </w:tcBorders>
            <w:vAlign w:val="center"/>
          </w:tcPr>
          <w:p w14:paraId="0AC93C03">
            <w:pPr>
              <w:keepNext w:val="0"/>
              <w:keepLines w:val="0"/>
              <w:pageBreakBefore w:val="0"/>
              <w:widowControl/>
              <w:kinsoku/>
              <w:wordWrap/>
              <w:overflowPunct/>
              <w:topLinePunct w:val="0"/>
              <w:autoSpaceDE/>
              <w:autoSpaceDN/>
              <w:bidi w:val="0"/>
              <w:adjustRightInd/>
              <w:snapToGrid w:val="0"/>
              <w:spacing w:line="240" w:lineRule="atLeast"/>
              <w:rPr>
                <w:rFonts w:hint="eastAsia" w:ascii="仿宋_GB2312" w:hAnsi="仿宋_GB2312" w:eastAsia="仿宋_GB2312" w:cs="仿宋_GB2312"/>
                <w:i w:val="0"/>
                <w:iCs w:val="0"/>
                <w:color w:val="000000"/>
                <w:sz w:val="22"/>
                <w:szCs w:val="22"/>
                <w:highlight w:val="none"/>
                <w:u w:val="none"/>
              </w:rPr>
            </w:pPr>
          </w:p>
        </w:tc>
        <w:tc>
          <w:tcPr>
            <w:tcW w:w="4452" w:type="dxa"/>
            <w:tcBorders>
              <w:top w:val="nil"/>
              <w:left w:val="nil"/>
              <w:bottom w:val="nil"/>
              <w:right w:val="nil"/>
            </w:tcBorders>
            <w:vAlign w:val="center"/>
          </w:tcPr>
          <w:p w14:paraId="1FDE1726">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审查时间：         年    月     日</w:t>
            </w:r>
          </w:p>
        </w:tc>
      </w:tr>
      <w:tr w14:paraId="5A82C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1" w:hRule="atLeast"/>
        </w:trPr>
        <w:tc>
          <w:tcPr>
            <w:tcW w:w="1310" w:type="dxa"/>
            <w:tcBorders>
              <w:top w:val="single" w:color="000000" w:sz="4" w:space="0"/>
              <w:left w:val="single" w:color="000000" w:sz="4" w:space="0"/>
              <w:bottom w:val="single" w:color="000000" w:sz="4" w:space="0"/>
              <w:right w:val="single" w:color="000000" w:sz="4" w:space="0"/>
            </w:tcBorders>
            <w:vAlign w:val="center"/>
          </w:tcPr>
          <w:p w14:paraId="3F184DAB">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核查项目</w:t>
            </w:r>
          </w:p>
        </w:tc>
        <w:tc>
          <w:tcPr>
            <w:tcW w:w="5748" w:type="dxa"/>
            <w:tcBorders>
              <w:top w:val="single" w:color="000000" w:sz="4" w:space="0"/>
              <w:left w:val="single" w:color="000000" w:sz="4" w:space="0"/>
              <w:bottom w:val="single" w:color="000000" w:sz="4" w:space="0"/>
              <w:right w:val="single" w:color="000000" w:sz="4" w:space="0"/>
            </w:tcBorders>
            <w:vAlign w:val="center"/>
          </w:tcPr>
          <w:p w14:paraId="13129AEA">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资质标准</w:t>
            </w:r>
          </w:p>
        </w:tc>
        <w:tc>
          <w:tcPr>
            <w:tcW w:w="2496" w:type="dxa"/>
            <w:tcBorders>
              <w:top w:val="single" w:color="000000" w:sz="4" w:space="0"/>
              <w:left w:val="single" w:color="000000" w:sz="4" w:space="0"/>
              <w:bottom w:val="single" w:color="000000" w:sz="4" w:space="0"/>
              <w:right w:val="single" w:color="000000" w:sz="4" w:space="0"/>
            </w:tcBorders>
            <w:vAlign w:val="center"/>
          </w:tcPr>
          <w:p w14:paraId="0CD9C623">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申报情况</w:t>
            </w:r>
          </w:p>
        </w:tc>
        <w:tc>
          <w:tcPr>
            <w:tcW w:w="4452" w:type="dxa"/>
            <w:tcBorders>
              <w:top w:val="single" w:color="000000" w:sz="4" w:space="0"/>
              <w:left w:val="single" w:color="000000" w:sz="4" w:space="0"/>
              <w:bottom w:val="single" w:color="000000" w:sz="4" w:space="0"/>
              <w:right w:val="single" w:color="000000" w:sz="4" w:space="0"/>
            </w:tcBorders>
            <w:vAlign w:val="center"/>
          </w:tcPr>
          <w:p w14:paraId="13DC052E">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核查情况</w:t>
            </w:r>
          </w:p>
        </w:tc>
      </w:tr>
      <w:tr w14:paraId="24E6D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 w:hRule="atLeast"/>
        </w:trPr>
        <w:tc>
          <w:tcPr>
            <w:tcW w:w="14006" w:type="dxa"/>
            <w:gridSpan w:val="4"/>
            <w:tcBorders>
              <w:top w:val="single" w:color="000000" w:sz="4" w:space="0"/>
              <w:left w:val="single" w:color="000000" w:sz="4" w:space="0"/>
              <w:bottom w:val="single" w:color="000000" w:sz="4" w:space="0"/>
              <w:right w:val="single" w:color="000000" w:sz="4" w:space="0"/>
            </w:tcBorders>
            <w:vAlign w:val="center"/>
          </w:tcPr>
          <w:p w14:paraId="3A70CEA8">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一、财务状况</w:t>
            </w:r>
          </w:p>
        </w:tc>
      </w:tr>
      <w:tr w14:paraId="7BE65E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1310" w:type="dxa"/>
            <w:tcBorders>
              <w:top w:val="single" w:color="000000" w:sz="4" w:space="0"/>
              <w:left w:val="single" w:color="000000" w:sz="4" w:space="0"/>
              <w:bottom w:val="single" w:color="000000" w:sz="4" w:space="0"/>
              <w:right w:val="single" w:color="000000" w:sz="4" w:space="0"/>
            </w:tcBorders>
            <w:vAlign w:val="center"/>
          </w:tcPr>
          <w:p w14:paraId="3DFFD173">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企业净资产</w:t>
            </w:r>
          </w:p>
        </w:tc>
        <w:tc>
          <w:tcPr>
            <w:tcW w:w="5748" w:type="dxa"/>
            <w:tcBorders>
              <w:top w:val="single" w:color="000000" w:sz="4" w:space="0"/>
              <w:left w:val="single" w:color="000000" w:sz="4" w:space="0"/>
              <w:bottom w:val="single" w:color="000000" w:sz="4" w:space="0"/>
              <w:right w:val="single" w:color="000000" w:sz="4" w:space="0"/>
            </w:tcBorders>
            <w:vAlign w:val="center"/>
          </w:tcPr>
          <w:p w14:paraId="4FADE758">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4000万元以上</w:t>
            </w:r>
          </w:p>
        </w:tc>
        <w:tc>
          <w:tcPr>
            <w:tcW w:w="2496" w:type="dxa"/>
            <w:tcBorders>
              <w:top w:val="single" w:color="000000" w:sz="4" w:space="0"/>
              <w:left w:val="single" w:color="000000" w:sz="4" w:space="0"/>
              <w:bottom w:val="single" w:color="000000" w:sz="4" w:space="0"/>
              <w:right w:val="single" w:color="000000" w:sz="4" w:space="0"/>
            </w:tcBorders>
            <w:vAlign w:val="center"/>
          </w:tcPr>
          <w:p w14:paraId="5027CE36">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XXXX万元，提交XXX年度财务报表</w:t>
            </w:r>
          </w:p>
        </w:tc>
        <w:tc>
          <w:tcPr>
            <w:tcW w:w="4452" w:type="dxa"/>
            <w:tcBorders>
              <w:top w:val="single" w:color="000000" w:sz="4" w:space="0"/>
              <w:left w:val="single" w:color="000000" w:sz="4" w:space="0"/>
              <w:bottom w:val="single" w:color="000000" w:sz="4" w:space="0"/>
              <w:right w:val="single" w:color="000000" w:sz="4" w:space="0"/>
            </w:tcBorders>
            <w:vAlign w:val="center"/>
          </w:tcPr>
          <w:p w14:paraId="55E67701">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符合资质要求/不符合资质要求（需写明原因并附网站截图等证明材料）</w:t>
            </w:r>
          </w:p>
        </w:tc>
      </w:tr>
      <w:tr w14:paraId="6077F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6" w:hRule="atLeast"/>
        </w:trPr>
        <w:tc>
          <w:tcPr>
            <w:tcW w:w="14006" w:type="dxa"/>
            <w:gridSpan w:val="4"/>
            <w:tcBorders>
              <w:top w:val="single" w:color="000000" w:sz="4" w:space="0"/>
              <w:left w:val="single" w:color="000000" w:sz="4" w:space="0"/>
              <w:bottom w:val="single" w:color="000000" w:sz="4" w:space="0"/>
              <w:right w:val="single" w:color="000000" w:sz="4" w:space="0"/>
            </w:tcBorders>
            <w:vAlign w:val="center"/>
          </w:tcPr>
          <w:p w14:paraId="1EFBFD05">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二、企业主要人员情况</w:t>
            </w:r>
          </w:p>
        </w:tc>
      </w:tr>
      <w:tr w14:paraId="734D4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10" w:type="dxa"/>
            <w:tcBorders>
              <w:top w:val="single" w:color="000000" w:sz="4" w:space="0"/>
              <w:left w:val="single" w:color="000000" w:sz="4" w:space="0"/>
              <w:bottom w:val="single" w:color="000000" w:sz="4" w:space="0"/>
              <w:right w:val="single" w:color="000000" w:sz="4" w:space="0"/>
            </w:tcBorders>
            <w:vAlign w:val="center"/>
          </w:tcPr>
          <w:p w14:paraId="0D5CF8A9">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注册建造师</w:t>
            </w:r>
          </w:p>
        </w:tc>
        <w:tc>
          <w:tcPr>
            <w:tcW w:w="5748" w:type="dxa"/>
            <w:tcBorders>
              <w:top w:val="single" w:color="000000" w:sz="4" w:space="0"/>
              <w:left w:val="single" w:color="000000" w:sz="4" w:space="0"/>
              <w:bottom w:val="single" w:color="000000" w:sz="4" w:space="0"/>
              <w:right w:val="single" w:color="000000" w:sz="4" w:space="0"/>
            </w:tcBorders>
            <w:vAlign w:val="center"/>
          </w:tcPr>
          <w:p w14:paraId="6CDB7606">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水利水电工程专业不少于8人</w:t>
            </w:r>
          </w:p>
        </w:tc>
        <w:tc>
          <w:tcPr>
            <w:tcW w:w="2496" w:type="dxa"/>
            <w:tcBorders>
              <w:top w:val="single" w:color="000000" w:sz="4" w:space="0"/>
              <w:left w:val="single" w:color="000000" w:sz="4" w:space="0"/>
              <w:bottom w:val="single" w:color="000000" w:sz="4" w:space="0"/>
              <w:right w:val="single" w:color="000000" w:sz="4" w:space="0"/>
            </w:tcBorders>
            <w:vAlign w:val="center"/>
          </w:tcPr>
          <w:p w14:paraId="09EB23CC">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申报XX人</w:t>
            </w:r>
          </w:p>
        </w:tc>
        <w:tc>
          <w:tcPr>
            <w:tcW w:w="4452" w:type="dxa"/>
            <w:tcBorders>
              <w:top w:val="single" w:color="000000" w:sz="4" w:space="0"/>
              <w:left w:val="single" w:color="000000" w:sz="4" w:space="0"/>
              <w:bottom w:val="single" w:color="000000" w:sz="4" w:space="0"/>
              <w:right w:val="single" w:color="000000" w:sz="4" w:space="0"/>
            </w:tcBorders>
            <w:vAlign w:val="center"/>
          </w:tcPr>
          <w:p w14:paraId="187BF397">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符合资质要求/不符合资质要求（需写明原因并附网站截图等证明材料）</w:t>
            </w:r>
          </w:p>
        </w:tc>
      </w:tr>
      <w:tr w14:paraId="48D7E4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10" w:type="dxa"/>
            <w:vMerge w:val="restart"/>
            <w:tcBorders>
              <w:top w:val="single" w:color="000000" w:sz="4" w:space="0"/>
              <w:left w:val="single" w:color="000000" w:sz="4" w:space="0"/>
              <w:bottom w:val="single" w:color="000000" w:sz="4" w:space="0"/>
              <w:right w:val="single" w:color="000000" w:sz="4" w:space="0"/>
            </w:tcBorders>
            <w:vAlign w:val="center"/>
          </w:tcPr>
          <w:p w14:paraId="6DFB4E7F">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技术负责人</w:t>
            </w:r>
          </w:p>
        </w:tc>
        <w:tc>
          <w:tcPr>
            <w:tcW w:w="5748" w:type="dxa"/>
            <w:tcBorders>
              <w:top w:val="single" w:color="000000" w:sz="4" w:space="0"/>
              <w:left w:val="single" w:color="000000" w:sz="4" w:space="0"/>
              <w:bottom w:val="single" w:color="000000" w:sz="4" w:space="0"/>
              <w:right w:val="single" w:color="000000" w:sz="4" w:space="0"/>
            </w:tcBorders>
            <w:vAlign w:val="center"/>
          </w:tcPr>
          <w:p w14:paraId="354A667E">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1.具有8年以上从事工程施工技术管理工作经历</w:t>
            </w:r>
          </w:p>
        </w:tc>
        <w:tc>
          <w:tcPr>
            <w:tcW w:w="2496" w:type="dxa"/>
            <w:tcBorders>
              <w:top w:val="single" w:color="000000" w:sz="4" w:space="0"/>
              <w:left w:val="single" w:color="000000" w:sz="4" w:space="0"/>
              <w:bottom w:val="single" w:color="000000" w:sz="4" w:space="0"/>
              <w:right w:val="single" w:color="000000" w:sz="4" w:space="0"/>
            </w:tcBorders>
            <w:vAlign w:val="center"/>
          </w:tcPr>
          <w:p w14:paraId="74C78BFC">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XXX（姓名），XX年起从事工程施工技术管理工作</w:t>
            </w:r>
          </w:p>
        </w:tc>
        <w:tc>
          <w:tcPr>
            <w:tcW w:w="4452" w:type="dxa"/>
            <w:tcBorders>
              <w:top w:val="single" w:color="000000" w:sz="4" w:space="0"/>
              <w:left w:val="single" w:color="000000" w:sz="4" w:space="0"/>
              <w:bottom w:val="single" w:color="000000" w:sz="4" w:space="0"/>
              <w:right w:val="single" w:color="000000" w:sz="4" w:space="0"/>
            </w:tcBorders>
            <w:vAlign w:val="center"/>
          </w:tcPr>
          <w:p w14:paraId="6D1C801B">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符合资质要求/不符合资质要求（需写明原因并附网站截图等证明材料）</w:t>
            </w:r>
          </w:p>
        </w:tc>
      </w:tr>
      <w:tr w14:paraId="42879F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8" w:hRule="atLeast"/>
        </w:trPr>
        <w:tc>
          <w:tcPr>
            <w:tcW w:w="1310" w:type="dxa"/>
            <w:vMerge w:val="continue"/>
            <w:tcBorders>
              <w:top w:val="single" w:color="000000" w:sz="4" w:space="0"/>
              <w:left w:val="single" w:color="000000" w:sz="4" w:space="0"/>
              <w:bottom w:val="single" w:color="000000" w:sz="4" w:space="0"/>
              <w:right w:val="single" w:color="000000" w:sz="4" w:space="0"/>
            </w:tcBorders>
            <w:vAlign w:val="center"/>
          </w:tcPr>
          <w:p w14:paraId="24447BAA">
            <w:pPr>
              <w:keepNext w:val="0"/>
              <w:keepLines w:val="0"/>
              <w:pageBreakBefore w:val="0"/>
              <w:widowControl/>
              <w:kinsoku/>
              <w:wordWrap/>
              <w:overflowPunct/>
              <w:topLinePunct w:val="0"/>
              <w:autoSpaceDE/>
              <w:autoSpaceDN/>
              <w:bidi w:val="0"/>
              <w:adjustRightInd/>
              <w:snapToGrid w:val="0"/>
              <w:spacing w:line="240" w:lineRule="atLeast"/>
              <w:jc w:val="center"/>
              <w:rPr>
                <w:rFonts w:hint="eastAsia" w:ascii="仿宋_GB2312" w:hAnsi="仿宋_GB2312" w:eastAsia="仿宋_GB2312" w:cs="仿宋_GB2312"/>
                <w:i w:val="0"/>
                <w:iCs w:val="0"/>
                <w:color w:val="000000"/>
                <w:sz w:val="18"/>
                <w:szCs w:val="18"/>
                <w:highlight w:val="none"/>
                <w:u w:val="none"/>
              </w:rPr>
            </w:pPr>
          </w:p>
        </w:tc>
        <w:tc>
          <w:tcPr>
            <w:tcW w:w="5748" w:type="dxa"/>
            <w:tcBorders>
              <w:top w:val="single" w:color="000000" w:sz="4" w:space="0"/>
              <w:left w:val="single" w:color="000000" w:sz="4" w:space="0"/>
              <w:bottom w:val="single" w:color="000000" w:sz="4" w:space="0"/>
              <w:right w:val="single" w:color="000000" w:sz="4" w:space="0"/>
            </w:tcBorders>
            <w:vAlign w:val="center"/>
          </w:tcPr>
          <w:p w14:paraId="2A27525B">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2.具有水利水电工程相关专业高级职称或水利水电工程专业一级注册建造师执业资格</w:t>
            </w:r>
          </w:p>
        </w:tc>
        <w:tc>
          <w:tcPr>
            <w:tcW w:w="2496" w:type="dxa"/>
            <w:tcBorders>
              <w:top w:val="single" w:color="000000" w:sz="4" w:space="0"/>
              <w:left w:val="single" w:color="000000" w:sz="4" w:space="0"/>
              <w:bottom w:val="single" w:color="000000" w:sz="4" w:space="0"/>
              <w:right w:val="single" w:color="000000" w:sz="4" w:space="0"/>
            </w:tcBorders>
            <w:vAlign w:val="center"/>
          </w:tcPr>
          <w:p w14:paraId="13E72436">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水利水电工程专业，一级</w:t>
            </w:r>
            <w:r>
              <w:rPr>
                <w:rFonts w:hint="eastAsia" w:ascii="仿宋_GB2312" w:hAnsi="仿宋_GB2312" w:eastAsia="仿宋_GB2312" w:cs="仿宋_GB2312"/>
                <w:i w:val="0"/>
                <w:iCs w:val="0"/>
                <w:color w:val="000000"/>
                <w:kern w:val="0"/>
                <w:sz w:val="18"/>
                <w:szCs w:val="18"/>
                <w:highlight w:val="none"/>
                <w:u w:val="none"/>
                <w:lang w:val="en-US" w:eastAsia="zh-CN" w:bidi="ar"/>
              </w:rPr>
              <w:br w:type="textWrapping"/>
            </w:r>
            <w:r>
              <w:rPr>
                <w:rFonts w:hint="eastAsia" w:ascii="仿宋_GB2312" w:hAnsi="仿宋_GB2312" w:eastAsia="仿宋_GB2312" w:cs="仿宋_GB2312"/>
                <w:i w:val="0"/>
                <w:iCs w:val="0"/>
                <w:color w:val="000000"/>
                <w:kern w:val="0"/>
                <w:sz w:val="18"/>
                <w:szCs w:val="18"/>
                <w:highlight w:val="none"/>
                <w:u w:val="none"/>
                <w:lang w:val="en-US" w:eastAsia="zh-CN" w:bidi="ar"/>
              </w:rPr>
              <w:t>建造师/XXX专业高级工程师</w:t>
            </w:r>
          </w:p>
        </w:tc>
        <w:tc>
          <w:tcPr>
            <w:tcW w:w="4452" w:type="dxa"/>
            <w:tcBorders>
              <w:top w:val="single" w:color="000000" w:sz="4" w:space="0"/>
              <w:left w:val="single" w:color="000000" w:sz="4" w:space="0"/>
              <w:bottom w:val="single" w:color="000000" w:sz="4" w:space="0"/>
              <w:right w:val="single" w:color="000000" w:sz="4" w:space="0"/>
            </w:tcBorders>
            <w:vAlign w:val="center"/>
          </w:tcPr>
          <w:p w14:paraId="19A7286A">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符合资质要求/不符合资质要求（需写明原因并附网站截图等证明材料）</w:t>
            </w:r>
          </w:p>
        </w:tc>
      </w:tr>
      <w:tr w14:paraId="6FA63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6" w:hRule="atLeast"/>
        </w:trPr>
        <w:tc>
          <w:tcPr>
            <w:tcW w:w="1310" w:type="dxa"/>
            <w:vMerge w:val="continue"/>
            <w:tcBorders>
              <w:top w:val="single" w:color="000000" w:sz="4" w:space="0"/>
              <w:left w:val="single" w:color="000000" w:sz="4" w:space="0"/>
              <w:bottom w:val="single" w:color="000000" w:sz="4" w:space="0"/>
              <w:right w:val="single" w:color="000000" w:sz="4" w:space="0"/>
            </w:tcBorders>
            <w:vAlign w:val="center"/>
          </w:tcPr>
          <w:p w14:paraId="04E07081">
            <w:pPr>
              <w:keepNext w:val="0"/>
              <w:keepLines w:val="0"/>
              <w:pageBreakBefore w:val="0"/>
              <w:widowControl/>
              <w:kinsoku/>
              <w:wordWrap/>
              <w:overflowPunct/>
              <w:topLinePunct w:val="0"/>
              <w:autoSpaceDE/>
              <w:autoSpaceDN/>
              <w:bidi w:val="0"/>
              <w:adjustRightInd/>
              <w:snapToGrid w:val="0"/>
              <w:spacing w:line="240" w:lineRule="atLeast"/>
              <w:jc w:val="center"/>
              <w:rPr>
                <w:rFonts w:hint="eastAsia" w:ascii="仿宋_GB2312" w:hAnsi="仿宋_GB2312" w:eastAsia="仿宋_GB2312" w:cs="仿宋_GB2312"/>
                <w:i w:val="0"/>
                <w:iCs w:val="0"/>
                <w:color w:val="000000"/>
                <w:sz w:val="18"/>
                <w:szCs w:val="18"/>
                <w:highlight w:val="none"/>
                <w:u w:val="none"/>
              </w:rPr>
            </w:pPr>
          </w:p>
        </w:tc>
        <w:tc>
          <w:tcPr>
            <w:tcW w:w="5748" w:type="dxa"/>
            <w:vMerge w:val="restart"/>
            <w:tcBorders>
              <w:top w:val="single" w:color="000000" w:sz="4" w:space="0"/>
              <w:left w:val="single" w:color="000000" w:sz="4" w:space="0"/>
              <w:bottom w:val="single" w:color="000000" w:sz="4" w:space="0"/>
              <w:right w:val="single" w:color="000000" w:sz="4" w:space="0"/>
            </w:tcBorders>
            <w:vAlign w:val="center"/>
          </w:tcPr>
          <w:p w14:paraId="6BA8DF66">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3.主持完成过以下工程业绩不少于两项：</w:t>
            </w:r>
            <w:r>
              <w:rPr>
                <w:rFonts w:hint="eastAsia" w:ascii="仿宋_GB2312" w:hAnsi="仿宋_GB2312" w:eastAsia="仿宋_GB2312" w:cs="仿宋_GB2312"/>
                <w:i w:val="0"/>
                <w:iCs w:val="0"/>
                <w:color w:val="000000"/>
                <w:kern w:val="0"/>
                <w:sz w:val="18"/>
                <w:szCs w:val="18"/>
                <w:highlight w:val="none"/>
                <w:u w:val="none"/>
                <w:lang w:val="en-US" w:eastAsia="zh-CN" w:bidi="ar"/>
              </w:rPr>
              <w:br w:type="textWrapping"/>
            </w:r>
            <w:r>
              <w:rPr>
                <w:rFonts w:hint="eastAsia" w:ascii="仿宋_GB2312" w:hAnsi="仿宋_GB2312" w:eastAsia="仿宋_GB2312" w:cs="仿宋_GB2312"/>
                <w:i w:val="0"/>
                <w:iCs w:val="0"/>
                <w:color w:val="000000"/>
                <w:kern w:val="0"/>
                <w:sz w:val="18"/>
                <w:szCs w:val="18"/>
                <w:highlight w:val="none"/>
                <w:u w:val="none"/>
                <w:lang w:val="en-US" w:eastAsia="zh-CN" w:bidi="ar"/>
              </w:rPr>
              <w:t>（1）库容500万立方米以上且坝高15米以上或库容10万立方米以上且坝高30米以上的水库、水电站大坝；</w:t>
            </w:r>
            <w:r>
              <w:rPr>
                <w:rFonts w:hint="eastAsia" w:ascii="仿宋_GB2312" w:hAnsi="仿宋_GB2312" w:eastAsia="仿宋_GB2312" w:cs="仿宋_GB2312"/>
                <w:i w:val="0"/>
                <w:iCs w:val="0"/>
                <w:color w:val="000000"/>
                <w:kern w:val="0"/>
                <w:sz w:val="18"/>
                <w:szCs w:val="18"/>
                <w:highlight w:val="none"/>
                <w:u w:val="none"/>
                <w:lang w:val="en-US" w:eastAsia="zh-CN" w:bidi="ar"/>
              </w:rPr>
              <w:br w:type="textWrapping"/>
            </w:r>
            <w:r>
              <w:rPr>
                <w:rFonts w:hint="eastAsia" w:ascii="仿宋_GB2312" w:hAnsi="仿宋_GB2312" w:eastAsia="仿宋_GB2312" w:cs="仿宋_GB2312"/>
                <w:i w:val="0"/>
                <w:iCs w:val="0"/>
                <w:color w:val="000000"/>
                <w:kern w:val="0"/>
                <w:sz w:val="18"/>
                <w:szCs w:val="18"/>
                <w:highlight w:val="none"/>
                <w:u w:val="none"/>
                <w:lang w:val="en-US" w:eastAsia="zh-CN" w:bidi="ar"/>
              </w:rPr>
              <w:t>（2）过闸流量60立方米/秒的水闸（不包括橡胶坝等）；</w:t>
            </w:r>
            <w:r>
              <w:rPr>
                <w:rFonts w:hint="eastAsia" w:ascii="仿宋_GB2312" w:hAnsi="仿宋_GB2312" w:eastAsia="仿宋_GB2312" w:cs="仿宋_GB2312"/>
                <w:i w:val="0"/>
                <w:iCs w:val="0"/>
                <w:color w:val="000000"/>
                <w:kern w:val="0"/>
                <w:sz w:val="18"/>
                <w:szCs w:val="18"/>
                <w:highlight w:val="none"/>
                <w:u w:val="none"/>
                <w:lang w:val="en-US" w:eastAsia="zh-CN" w:bidi="ar"/>
              </w:rPr>
              <w:br w:type="textWrapping"/>
            </w:r>
            <w:r>
              <w:rPr>
                <w:rFonts w:hint="eastAsia" w:ascii="仿宋_GB2312" w:hAnsi="仿宋_GB2312" w:eastAsia="仿宋_GB2312" w:cs="仿宋_GB2312"/>
                <w:i w:val="0"/>
                <w:iCs w:val="0"/>
                <w:color w:val="000000"/>
                <w:kern w:val="0"/>
                <w:sz w:val="18"/>
                <w:szCs w:val="18"/>
                <w:highlight w:val="none"/>
                <w:u w:val="none"/>
                <w:lang w:val="en-US" w:eastAsia="zh-CN" w:bidi="ar"/>
              </w:rPr>
              <w:t>（3）总装机容量10MW以上水电站；</w:t>
            </w:r>
            <w:r>
              <w:rPr>
                <w:rFonts w:hint="eastAsia" w:ascii="仿宋_GB2312" w:hAnsi="仿宋_GB2312" w:eastAsia="仿宋_GB2312" w:cs="仿宋_GB2312"/>
                <w:i w:val="0"/>
                <w:iCs w:val="0"/>
                <w:color w:val="000000"/>
                <w:kern w:val="0"/>
                <w:sz w:val="18"/>
                <w:szCs w:val="18"/>
                <w:highlight w:val="none"/>
                <w:u w:val="none"/>
                <w:lang w:val="en-US" w:eastAsia="zh-CN" w:bidi="ar"/>
              </w:rPr>
              <w:br w:type="textWrapping"/>
            </w:r>
            <w:r>
              <w:rPr>
                <w:rFonts w:hint="eastAsia" w:ascii="仿宋_GB2312" w:hAnsi="仿宋_GB2312" w:eastAsia="仿宋_GB2312" w:cs="仿宋_GB2312"/>
                <w:i w:val="0"/>
                <w:iCs w:val="0"/>
                <w:color w:val="000000"/>
                <w:kern w:val="0"/>
                <w:sz w:val="18"/>
                <w:szCs w:val="18"/>
                <w:highlight w:val="none"/>
                <w:u w:val="none"/>
                <w:lang w:val="en-US" w:eastAsia="zh-CN" w:bidi="ar"/>
              </w:rPr>
              <w:t>（4）总装机容量500kW（或流量≥8立方米/秒）以上泵站；</w:t>
            </w:r>
            <w:r>
              <w:rPr>
                <w:rFonts w:hint="eastAsia" w:ascii="仿宋_GB2312" w:hAnsi="仿宋_GB2312" w:eastAsia="仿宋_GB2312" w:cs="仿宋_GB2312"/>
                <w:i w:val="0"/>
                <w:iCs w:val="0"/>
                <w:color w:val="000000"/>
                <w:kern w:val="0"/>
                <w:sz w:val="18"/>
                <w:szCs w:val="18"/>
                <w:highlight w:val="none"/>
                <w:u w:val="none"/>
                <w:lang w:val="en-US" w:eastAsia="zh-CN" w:bidi="ar"/>
              </w:rPr>
              <w:br w:type="textWrapping"/>
            </w:r>
            <w:r>
              <w:rPr>
                <w:rFonts w:hint="eastAsia" w:ascii="仿宋_GB2312" w:hAnsi="仿宋_GB2312" w:eastAsia="仿宋_GB2312" w:cs="仿宋_GB2312"/>
                <w:i w:val="0"/>
                <w:iCs w:val="0"/>
                <w:color w:val="000000"/>
                <w:kern w:val="0"/>
                <w:sz w:val="18"/>
                <w:szCs w:val="18"/>
                <w:highlight w:val="none"/>
                <w:u w:val="none"/>
                <w:lang w:val="en-US" w:eastAsia="zh-CN" w:bidi="ar"/>
              </w:rPr>
              <w:t>（5）洞径≥4米（或断面积相等的其它型式）且长度≥200米的水工隧洞；</w:t>
            </w:r>
            <w:r>
              <w:rPr>
                <w:rFonts w:hint="eastAsia" w:ascii="仿宋_GB2312" w:hAnsi="仿宋_GB2312" w:eastAsia="仿宋_GB2312" w:cs="仿宋_GB2312"/>
                <w:i w:val="0"/>
                <w:iCs w:val="0"/>
                <w:color w:val="000000"/>
                <w:kern w:val="0"/>
                <w:sz w:val="18"/>
                <w:szCs w:val="18"/>
                <w:highlight w:val="none"/>
                <w:u w:val="none"/>
                <w:lang w:val="en-US" w:eastAsia="zh-CN" w:bidi="ar"/>
              </w:rPr>
              <w:br w:type="textWrapping"/>
            </w:r>
            <w:r>
              <w:rPr>
                <w:rFonts w:hint="eastAsia" w:ascii="仿宋_GB2312" w:hAnsi="仿宋_GB2312" w:eastAsia="仿宋_GB2312" w:cs="仿宋_GB2312"/>
                <w:i w:val="0"/>
                <w:iCs w:val="0"/>
                <w:color w:val="000000"/>
                <w:kern w:val="0"/>
                <w:sz w:val="18"/>
                <w:szCs w:val="18"/>
                <w:highlight w:val="none"/>
                <w:u w:val="none"/>
                <w:lang w:val="en-US" w:eastAsia="zh-CN" w:bidi="ar"/>
              </w:rPr>
              <w:t>（6）年完成水工混凝土浇筑20万立方米以上或坝体土石方填筑60万立方米以上或灌浆6万米以上或防渗墙4万平方米以上；</w:t>
            </w:r>
            <w:r>
              <w:rPr>
                <w:rFonts w:hint="eastAsia" w:ascii="仿宋_GB2312" w:hAnsi="仿宋_GB2312" w:eastAsia="仿宋_GB2312" w:cs="仿宋_GB2312"/>
                <w:i w:val="0"/>
                <w:iCs w:val="0"/>
                <w:color w:val="000000"/>
                <w:kern w:val="0"/>
                <w:sz w:val="18"/>
                <w:szCs w:val="18"/>
                <w:highlight w:val="none"/>
                <w:u w:val="none"/>
                <w:lang w:val="en-US" w:eastAsia="zh-CN" w:bidi="ar"/>
              </w:rPr>
              <w:br w:type="textWrapping"/>
            </w:r>
            <w:r>
              <w:rPr>
                <w:rFonts w:hint="eastAsia" w:ascii="仿宋_GB2312" w:hAnsi="仿宋_GB2312" w:eastAsia="仿宋_GB2312" w:cs="仿宋_GB2312"/>
                <w:i w:val="0"/>
                <w:iCs w:val="0"/>
                <w:color w:val="000000"/>
                <w:kern w:val="0"/>
                <w:sz w:val="18"/>
                <w:szCs w:val="18"/>
                <w:highlight w:val="none"/>
                <w:u w:val="none"/>
                <w:lang w:val="en-US" w:eastAsia="zh-CN" w:bidi="ar"/>
              </w:rPr>
              <w:t>（7）单项合同额5000万元以上的水利水电工程。</w:t>
            </w:r>
          </w:p>
        </w:tc>
        <w:tc>
          <w:tcPr>
            <w:tcW w:w="2496" w:type="dxa"/>
            <w:tcBorders>
              <w:top w:val="single" w:color="000000" w:sz="4" w:space="0"/>
              <w:left w:val="single" w:color="000000" w:sz="4" w:space="0"/>
              <w:bottom w:val="single" w:color="000000" w:sz="4" w:space="0"/>
              <w:right w:val="single" w:color="000000" w:sz="4" w:space="0"/>
            </w:tcBorders>
            <w:vAlign w:val="center"/>
          </w:tcPr>
          <w:p w14:paraId="38E1F087">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业绩1项目名称，相关指标</w:t>
            </w:r>
          </w:p>
        </w:tc>
        <w:tc>
          <w:tcPr>
            <w:tcW w:w="4452" w:type="dxa"/>
            <w:tcBorders>
              <w:top w:val="single" w:color="000000" w:sz="4" w:space="0"/>
              <w:left w:val="single" w:color="000000" w:sz="4" w:space="0"/>
              <w:bottom w:val="single" w:color="000000" w:sz="4" w:space="0"/>
              <w:right w:val="single" w:color="000000" w:sz="4" w:space="0"/>
            </w:tcBorders>
            <w:vAlign w:val="center"/>
          </w:tcPr>
          <w:p w14:paraId="2504BFD6">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符合资质要求/不符合资质要求（需写明原因并附网站截图等证明材料）</w:t>
            </w:r>
          </w:p>
        </w:tc>
      </w:tr>
      <w:tr w14:paraId="1ECD26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24" w:hRule="atLeast"/>
        </w:trPr>
        <w:tc>
          <w:tcPr>
            <w:tcW w:w="1310" w:type="dxa"/>
            <w:vMerge w:val="continue"/>
            <w:tcBorders>
              <w:top w:val="single" w:color="000000" w:sz="4" w:space="0"/>
              <w:left w:val="single" w:color="000000" w:sz="4" w:space="0"/>
              <w:bottom w:val="single" w:color="000000" w:sz="4" w:space="0"/>
              <w:right w:val="single" w:color="000000" w:sz="4" w:space="0"/>
            </w:tcBorders>
            <w:vAlign w:val="center"/>
          </w:tcPr>
          <w:p w14:paraId="6D65EC8F">
            <w:pPr>
              <w:keepNext w:val="0"/>
              <w:keepLines w:val="0"/>
              <w:pageBreakBefore w:val="0"/>
              <w:widowControl/>
              <w:kinsoku/>
              <w:wordWrap/>
              <w:overflowPunct/>
              <w:topLinePunct w:val="0"/>
              <w:autoSpaceDE/>
              <w:autoSpaceDN/>
              <w:bidi w:val="0"/>
              <w:adjustRightInd/>
              <w:snapToGrid w:val="0"/>
              <w:spacing w:line="240" w:lineRule="atLeast"/>
              <w:jc w:val="center"/>
              <w:rPr>
                <w:rFonts w:hint="eastAsia" w:ascii="仿宋_GB2312" w:hAnsi="仿宋_GB2312" w:eastAsia="仿宋_GB2312" w:cs="仿宋_GB2312"/>
                <w:i w:val="0"/>
                <w:iCs w:val="0"/>
                <w:color w:val="000000"/>
                <w:sz w:val="18"/>
                <w:szCs w:val="18"/>
                <w:highlight w:val="none"/>
                <w:u w:val="none"/>
              </w:rPr>
            </w:pPr>
          </w:p>
        </w:tc>
        <w:tc>
          <w:tcPr>
            <w:tcW w:w="5748" w:type="dxa"/>
            <w:vMerge w:val="continue"/>
            <w:tcBorders>
              <w:top w:val="single" w:color="000000" w:sz="4" w:space="0"/>
              <w:left w:val="single" w:color="000000" w:sz="4" w:space="0"/>
              <w:bottom w:val="single" w:color="000000" w:sz="4" w:space="0"/>
              <w:right w:val="single" w:color="000000" w:sz="4" w:space="0"/>
            </w:tcBorders>
            <w:vAlign w:val="center"/>
          </w:tcPr>
          <w:p w14:paraId="17DF51C6">
            <w:pPr>
              <w:keepNext w:val="0"/>
              <w:keepLines w:val="0"/>
              <w:pageBreakBefore w:val="0"/>
              <w:widowControl/>
              <w:kinsoku/>
              <w:wordWrap/>
              <w:overflowPunct/>
              <w:topLinePunct w:val="0"/>
              <w:autoSpaceDE/>
              <w:autoSpaceDN/>
              <w:bidi w:val="0"/>
              <w:adjustRightInd/>
              <w:snapToGrid w:val="0"/>
              <w:spacing w:line="240" w:lineRule="atLeast"/>
              <w:jc w:val="left"/>
              <w:rPr>
                <w:rFonts w:hint="eastAsia" w:ascii="仿宋_GB2312" w:hAnsi="仿宋_GB2312" w:eastAsia="仿宋_GB2312" w:cs="仿宋_GB2312"/>
                <w:i w:val="0"/>
                <w:iCs w:val="0"/>
                <w:color w:val="000000"/>
                <w:sz w:val="18"/>
                <w:szCs w:val="18"/>
                <w:highlight w:val="none"/>
                <w:u w:val="none"/>
              </w:rPr>
            </w:pPr>
          </w:p>
        </w:tc>
        <w:tc>
          <w:tcPr>
            <w:tcW w:w="2496" w:type="dxa"/>
            <w:tcBorders>
              <w:top w:val="single" w:color="000000" w:sz="4" w:space="0"/>
              <w:left w:val="single" w:color="000000" w:sz="4" w:space="0"/>
              <w:bottom w:val="single" w:color="000000" w:sz="4" w:space="0"/>
              <w:right w:val="single" w:color="000000" w:sz="4" w:space="0"/>
            </w:tcBorders>
            <w:vAlign w:val="center"/>
          </w:tcPr>
          <w:p w14:paraId="17A764CD">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业绩2项目名称，相关指标</w:t>
            </w:r>
          </w:p>
        </w:tc>
        <w:tc>
          <w:tcPr>
            <w:tcW w:w="4452" w:type="dxa"/>
            <w:tcBorders>
              <w:top w:val="single" w:color="000000" w:sz="4" w:space="0"/>
              <w:left w:val="single" w:color="000000" w:sz="4" w:space="0"/>
              <w:bottom w:val="single" w:color="000000" w:sz="4" w:space="0"/>
              <w:right w:val="single" w:color="000000" w:sz="4" w:space="0"/>
            </w:tcBorders>
            <w:vAlign w:val="center"/>
          </w:tcPr>
          <w:p w14:paraId="7C5823C7">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符合资质要求/不符合资质要求（需写明原因并附网站截图等证明材料）</w:t>
            </w:r>
          </w:p>
        </w:tc>
      </w:tr>
      <w:tr w14:paraId="3B470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310" w:type="dxa"/>
            <w:tcBorders>
              <w:top w:val="single" w:color="000000" w:sz="4" w:space="0"/>
              <w:left w:val="single" w:color="000000" w:sz="4" w:space="0"/>
              <w:bottom w:val="single" w:color="000000" w:sz="4" w:space="0"/>
              <w:right w:val="single" w:color="000000" w:sz="4" w:space="0"/>
            </w:tcBorders>
            <w:vAlign w:val="center"/>
          </w:tcPr>
          <w:p w14:paraId="46172960">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中级以上职称人员</w:t>
            </w:r>
          </w:p>
        </w:tc>
        <w:tc>
          <w:tcPr>
            <w:tcW w:w="5748" w:type="dxa"/>
            <w:tcBorders>
              <w:top w:val="single" w:color="000000" w:sz="4" w:space="0"/>
              <w:left w:val="single" w:color="000000" w:sz="4" w:space="0"/>
              <w:bottom w:val="single" w:color="000000" w:sz="4" w:space="0"/>
              <w:right w:val="single" w:color="000000" w:sz="4" w:space="0"/>
            </w:tcBorders>
            <w:vAlign w:val="center"/>
          </w:tcPr>
          <w:p w14:paraId="23DC3D6E">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水利水电工程相关专业中级以上职称人员不少于10人</w:t>
            </w:r>
          </w:p>
        </w:tc>
        <w:tc>
          <w:tcPr>
            <w:tcW w:w="2496" w:type="dxa"/>
            <w:tcBorders>
              <w:top w:val="single" w:color="000000" w:sz="4" w:space="0"/>
              <w:left w:val="single" w:color="000000" w:sz="4" w:space="0"/>
              <w:bottom w:val="single" w:color="000000" w:sz="4" w:space="0"/>
              <w:right w:val="single" w:color="000000" w:sz="4" w:space="0"/>
            </w:tcBorders>
            <w:vAlign w:val="center"/>
          </w:tcPr>
          <w:p w14:paraId="4FFC4B3E">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申报XX人</w:t>
            </w:r>
          </w:p>
        </w:tc>
        <w:tc>
          <w:tcPr>
            <w:tcW w:w="4452" w:type="dxa"/>
            <w:tcBorders>
              <w:top w:val="single" w:color="000000" w:sz="4" w:space="0"/>
              <w:left w:val="single" w:color="000000" w:sz="4" w:space="0"/>
              <w:bottom w:val="single" w:color="000000" w:sz="4" w:space="0"/>
              <w:right w:val="single" w:color="000000" w:sz="4" w:space="0"/>
            </w:tcBorders>
            <w:vAlign w:val="center"/>
          </w:tcPr>
          <w:p w14:paraId="61962C37">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符合资质要求/不符合资质要求（需写明原因并附网站截图等证明材料）</w:t>
            </w:r>
          </w:p>
        </w:tc>
      </w:tr>
      <w:tr w14:paraId="125CC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10" w:type="dxa"/>
            <w:tcBorders>
              <w:top w:val="single" w:color="000000" w:sz="4" w:space="0"/>
              <w:left w:val="single" w:color="000000" w:sz="4" w:space="0"/>
              <w:bottom w:val="single" w:color="000000" w:sz="4" w:space="0"/>
              <w:right w:val="single" w:color="000000" w:sz="4" w:space="0"/>
            </w:tcBorders>
            <w:vAlign w:val="center"/>
          </w:tcPr>
          <w:p w14:paraId="12BD247F">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技术工人</w:t>
            </w:r>
          </w:p>
        </w:tc>
        <w:tc>
          <w:tcPr>
            <w:tcW w:w="5748" w:type="dxa"/>
            <w:tcBorders>
              <w:top w:val="single" w:color="000000" w:sz="4" w:space="0"/>
              <w:left w:val="single" w:color="000000" w:sz="4" w:space="0"/>
              <w:bottom w:val="single" w:color="000000" w:sz="4" w:space="0"/>
              <w:right w:val="single" w:color="000000" w:sz="4" w:space="0"/>
            </w:tcBorders>
            <w:vAlign w:val="center"/>
          </w:tcPr>
          <w:p w14:paraId="6D356D38">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经考核或培训合格的中级工以上技术工人不少于20人</w:t>
            </w:r>
          </w:p>
        </w:tc>
        <w:tc>
          <w:tcPr>
            <w:tcW w:w="2496" w:type="dxa"/>
            <w:tcBorders>
              <w:top w:val="single" w:color="000000" w:sz="4" w:space="0"/>
              <w:left w:val="single" w:color="000000" w:sz="4" w:space="0"/>
              <w:bottom w:val="single" w:color="000000" w:sz="4" w:space="0"/>
              <w:right w:val="single" w:color="000000" w:sz="4" w:space="0"/>
            </w:tcBorders>
            <w:vAlign w:val="center"/>
          </w:tcPr>
          <w:p w14:paraId="54E4638D">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申报XX人</w:t>
            </w:r>
          </w:p>
        </w:tc>
        <w:tc>
          <w:tcPr>
            <w:tcW w:w="4452" w:type="dxa"/>
            <w:tcBorders>
              <w:top w:val="single" w:color="000000" w:sz="4" w:space="0"/>
              <w:left w:val="single" w:color="000000" w:sz="4" w:space="0"/>
              <w:bottom w:val="single" w:color="000000" w:sz="4" w:space="0"/>
              <w:right w:val="single" w:color="000000" w:sz="4" w:space="0"/>
            </w:tcBorders>
            <w:vAlign w:val="center"/>
          </w:tcPr>
          <w:p w14:paraId="7671239A">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18"/>
                <w:szCs w:val="18"/>
                <w:highlight w:val="none"/>
                <w:u w:val="none"/>
              </w:rPr>
            </w:pPr>
            <w:r>
              <w:rPr>
                <w:rFonts w:hint="eastAsia" w:ascii="仿宋_GB2312" w:hAnsi="仿宋_GB2312" w:eastAsia="仿宋_GB2312" w:cs="仿宋_GB2312"/>
                <w:i w:val="0"/>
                <w:iCs w:val="0"/>
                <w:color w:val="000000"/>
                <w:kern w:val="0"/>
                <w:sz w:val="18"/>
                <w:szCs w:val="18"/>
                <w:highlight w:val="none"/>
                <w:u w:val="none"/>
                <w:lang w:val="en-US" w:eastAsia="zh-CN" w:bidi="ar"/>
              </w:rPr>
              <w:t>符合资质要求/不符合资质要求（需写明原因并附网站截图等证明材料）</w:t>
            </w:r>
          </w:p>
        </w:tc>
      </w:tr>
      <w:tr w14:paraId="41BCC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 w:hRule="atLeast"/>
        </w:trPr>
        <w:tc>
          <w:tcPr>
            <w:tcW w:w="9554" w:type="dxa"/>
            <w:gridSpan w:val="3"/>
            <w:tcBorders>
              <w:top w:val="single" w:color="000000" w:sz="4" w:space="0"/>
              <w:left w:val="nil"/>
              <w:bottom w:val="nil"/>
              <w:right w:val="nil"/>
            </w:tcBorders>
            <w:vAlign w:val="center"/>
          </w:tcPr>
          <w:p w14:paraId="02DB0AFD">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审查意见：符合资质要求/不符合资质要求。</w:t>
            </w:r>
          </w:p>
        </w:tc>
        <w:tc>
          <w:tcPr>
            <w:tcW w:w="4452" w:type="dxa"/>
            <w:tcBorders>
              <w:top w:val="nil"/>
              <w:left w:val="nil"/>
              <w:bottom w:val="nil"/>
              <w:right w:val="nil"/>
            </w:tcBorders>
            <w:vAlign w:val="center"/>
          </w:tcPr>
          <w:p w14:paraId="47CBDDFC">
            <w:pPr>
              <w:keepNext w:val="0"/>
              <w:keepLines w:val="0"/>
              <w:pageBreakBefore w:val="0"/>
              <w:widowControl/>
              <w:suppressLineNumbers w:val="0"/>
              <w:kinsoku/>
              <w:wordWrap/>
              <w:overflowPunct/>
              <w:topLinePunct w:val="0"/>
              <w:autoSpaceDE/>
              <w:autoSpaceDN/>
              <w:bidi w:val="0"/>
              <w:adjustRightInd/>
              <w:snapToGrid w:val="0"/>
              <w:spacing w:line="240" w:lineRule="atLeast"/>
              <w:jc w:val="left"/>
              <w:textAlignment w:val="center"/>
              <w:rPr>
                <w:rFonts w:hint="eastAsia" w:ascii="仿宋_GB2312" w:hAnsi="仿宋_GB2312" w:eastAsia="仿宋_GB2312" w:cs="仿宋_GB2312"/>
                <w:i w:val="0"/>
                <w:iCs w:val="0"/>
                <w:color w:val="000000"/>
                <w:sz w:val="22"/>
                <w:szCs w:val="22"/>
                <w:highlight w:val="none"/>
                <w:u w:val="none"/>
              </w:rPr>
            </w:pPr>
            <w:r>
              <w:rPr>
                <w:rFonts w:hint="eastAsia" w:ascii="仿宋_GB2312" w:hAnsi="仿宋_GB2312" w:eastAsia="仿宋_GB2312" w:cs="仿宋_GB2312"/>
                <w:i w:val="0"/>
                <w:iCs w:val="0"/>
                <w:color w:val="000000"/>
                <w:kern w:val="0"/>
                <w:sz w:val="22"/>
                <w:szCs w:val="22"/>
                <w:highlight w:val="none"/>
                <w:u w:val="none"/>
                <w:lang w:val="en-US" w:eastAsia="zh-CN" w:bidi="ar"/>
              </w:rPr>
              <w:t>专家签字：</w:t>
            </w:r>
          </w:p>
        </w:tc>
      </w:tr>
    </w:tbl>
    <w:p w14:paraId="772102FF">
      <w:pPr>
        <w:keepNext w:val="0"/>
        <w:keepLines w:val="0"/>
        <w:pageBreakBefore w:val="0"/>
        <w:widowControl w:val="0"/>
        <w:numPr>
          <w:ilvl w:val="0"/>
          <w:numId w:val="0"/>
        </w:numPr>
        <w:kinsoku/>
        <w:wordWrap/>
        <w:overflowPunct/>
        <w:topLinePunct w:val="0"/>
        <w:autoSpaceDE/>
        <w:autoSpaceDN/>
        <w:bidi w:val="0"/>
        <w:adjustRightInd/>
        <w:spacing w:line="560" w:lineRule="exact"/>
        <w:textAlignment w:val="auto"/>
        <w:rPr>
          <w:rFonts w:hint="eastAsia" w:ascii="仿宋_GB2312" w:hAnsi="仿宋_GB2312" w:eastAsia="仿宋_GB2312" w:cs="仿宋_GB2312"/>
          <w:sz w:val="32"/>
          <w:szCs w:val="32"/>
          <w:highlight w:val="none"/>
          <w:lang w:val="en-US" w:eastAsia="zh-CN"/>
        </w:rPr>
        <w:sectPr>
          <w:pgSz w:w="16838" w:h="11906" w:orient="landscape"/>
          <w:pgMar w:top="1800" w:right="1440" w:bottom="1800" w:left="1440" w:header="851" w:footer="992" w:gutter="0"/>
          <w:pgNumType w:fmt="numberInDash"/>
          <w:cols w:space="720" w:num="1"/>
          <w:docGrid w:type="lines" w:linePitch="312" w:charSpace="0"/>
        </w:sectPr>
      </w:pPr>
    </w:p>
    <w:p w14:paraId="0DE8A96D">
      <w:pPr>
        <w:keepNext w:val="0"/>
        <w:keepLines w:val="0"/>
        <w:pageBreakBefore w:val="0"/>
        <w:widowControl w:val="0"/>
        <w:numPr>
          <w:ilvl w:val="0"/>
          <w:numId w:val="0"/>
        </w:numPr>
        <w:kinsoku/>
        <w:wordWrap/>
        <w:overflowPunct/>
        <w:topLinePunct w:val="0"/>
        <w:autoSpaceDE/>
        <w:autoSpaceDN/>
        <w:bidi w:val="0"/>
        <w:adjustRightInd/>
        <w:spacing w:line="560" w:lineRule="exact"/>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附件2-3</w:t>
      </w:r>
    </w:p>
    <w:p w14:paraId="2C3CF123">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jc w:val="center"/>
        <w:textAlignment w:val="auto"/>
        <w:rPr>
          <w:rFonts w:hint="eastAsia" w:ascii="方正小标宋简体" w:hAnsi="方正小标宋简体" w:eastAsia="方正小标宋简体" w:cs="方正小标宋简体"/>
          <w:i w:val="0"/>
          <w:caps w:val="0"/>
          <w:color w:val="auto"/>
          <w:spacing w:val="0"/>
          <w:sz w:val="44"/>
          <w:szCs w:val="44"/>
          <w:highlight w:val="none"/>
          <w:shd w:val="clear" w:color="auto" w:fill="FFFFFF"/>
          <w:lang w:val="en-US" w:eastAsia="zh-CN"/>
        </w:rPr>
      </w:pPr>
      <w:r>
        <w:rPr>
          <w:rFonts w:hint="eastAsia" w:ascii="方正小标宋简体" w:hAnsi="方正小标宋简体" w:eastAsia="方正小标宋简体" w:cs="方正小标宋简体"/>
          <w:i w:val="0"/>
          <w:caps w:val="0"/>
          <w:color w:val="auto"/>
          <w:spacing w:val="0"/>
          <w:sz w:val="44"/>
          <w:szCs w:val="44"/>
          <w:highlight w:val="none"/>
          <w:shd w:val="clear" w:color="auto" w:fill="FFFFFF"/>
          <w:lang w:val="en-US" w:eastAsia="zh-CN"/>
        </w:rPr>
        <w:t>会议审查记录表</w:t>
      </w:r>
    </w:p>
    <w:p w14:paraId="6CCF112B">
      <w:pPr>
        <w:keepNext w:val="0"/>
        <w:keepLines w:val="0"/>
        <w:pageBreakBefore w:val="0"/>
        <w:widowControl w:val="0"/>
        <w:numPr>
          <w:ilvl w:val="0"/>
          <w:numId w:val="0"/>
        </w:numPr>
        <w:kinsoku/>
        <w:wordWrap/>
        <w:overflowPunct/>
        <w:topLinePunct w:val="0"/>
        <w:autoSpaceDE/>
        <w:autoSpaceDN/>
        <w:bidi w:val="0"/>
        <w:adjustRightInd/>
        <w:spacing w:line="560" w:lineRule="exact"/>
        <w:ind w:firstLine="0"/>
        <w:textAlignment w:val="auto"/>
        <w:rPr>
          <w:rFonts w:hint="eastAsia" w:ascii="仿宋_GB2312" w:hAnsi="仿宋_GB2312" w:eastAsia="仿宋_GB2312" w:cs="仿宋_GB2312"/>
          <w:i w:val="0"/>
          <w:caps w:val="0"/>
          <w:color w:val="FF0000"/>
          <w:spacing w:val="0"/>
          <w:sz w:val="32"/>
          <w:szCs w:val="32"/>
          <w:highlight w:val="none"/>
          <w:u w:val="single"/>
          <w:shd w:val="clear" w:color="auto" w:fill="FFFFFF"/>
          <w:lang w:val="en-US" w:eastAsia="zh-CN"/>
        </w:rPr>
      </w:pPr>
      <w:r>
        <w:rPr>
          <w:rFonts w:hint="eastAsia" w:ascii="仿宋_GB2312" w:hAnsi="仿宋_GB2312" w:eastAsia="仿宋_GB2312" w:cs="仿宋_GB2312"/>
          <w:i w:val="0"/>
          <w:caps w:val="0"/>
          <w:color w:val="auto"/>
          <w:spacing w:val="0"/>
          <w:sz w:val="32"/>
          <w:szCs w:val="32"/>
          <w:highlight w:val="none"/>
          <w:u w:val="single"/>
          <w:shd w:val="clear" w:color="auto" w:fill="FFFFFF"/>
          <w:lang w:val="en-US" w:eastAsia="zh-CN"/>
        </w:rPr>
        <w:t>会议时间：                                         会议地点：</w:t>
      </w:r>
    </w:p>
    <w:tbl>
      <w:tblPr>
        <w:tblStyle w:val="4"/>
        <w:tblW w:w="14055" w:type="dxa"/>
        <w:jc w:val="center"/>
        <w:tblLayout w:type="fixed"/>
        <w:tblCellMar>
          <w:top w:w="0" w:type="dxa"/>
          <w:left w:w="108" w:type="dxa"/>
          <w:bottom w:w="0" w:type="dxa"/>
          <w:right w:w="108" w:type="dxa"/>
        </w:tblCellMar>
      </w:tblPr>
      <w:tblGrid>
        <w:gridCol w:w="900"/>
        <w:gridCol w:w="2416"/>
        <w:gridCol w:w="5369"/>
        <w:gridCol w:w="5370"/>
      </w:tblGrid>
      <w:tr w14:paraId="10487EFB">
        <w:tblPrEx>
          <w:tblCellMar>
            <w:top w:w="0" w:type="dxa"/>
            <w:left w:w="108" w:type="dxa"/>
            <w:bottom w:w="0" w:type="dxa"/>
            <w:right w:w="108" w:type="dxa"/>
          </w:tblCellMar>
        </w:tblPrEx>
        <w:trPr>
          <w:trHeight w:val="699" w:hRule="atLeast"/>
          <w:tblHeader/>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2EDED4D6">
            <w:pPr>
              <w:widowControl/>
              <w:snapToGrid w:val="0"/>
              <w:jc w:val="center"/>
              <w:textAlignment w:val="center"/>
              <w:rPr>
                <w:rFonts w:hint="eastAsia" w:ascii="宋体" w:hAnsi="宋体" w:eastAsia="宋体" w:cs="宋体"/>
                <w:b/>
                <w:sz w:val="24"/>
                <w:highlight w:val="none"/>
              </w:rPr>
            </w:pPr>
            <w:r>
              <w:rPr>
                <w:rFonts w:hint="eastAsia" w:ascii="宋体" w:hAnsi="宋体" w:eastAsia="宋体" w:cs="宋体"/>
                <w:b/>
                <w:kern w:val="0"/>
                <w:sz w:val="24"/>
                <w:highlight w:val="none"/>
                <w:lang w:bidi="ar"/>
              </w:rPr>
              <w:t>序号</w:t>
            </w:r>
          </w:p>
        </w:tc>
        <w:tc>
          <w:tcPr>
            <w:tcW w:w="2416" w:type="dxa"/>
            <w:tcBorders>
              <w:top w:val="single" w:color="000000" w:sz="4" w:space="0"/>
              <w:left w:val="single" w:color="000000" w:sz="4" w:space="0"/>
              <w:bottom w:val="single" w:color="000000" w:sz="4" w:space="0"/>
              <w:right w:val="single" w:color="000000" w:sz="4" w:space="0"/>
            </w:tcBorders>
            <w:vAlign w:val="center"/>
          </w:tcPr>
          <w:p w14:paraId="0A716100">
            <w:pPr>
              <w:widowControl/>
              <w:snapToGrid w:val="0"/>
              <w:jc w:val="center"/>
              <w:textAlignment w:val="center"/>
              <w:rPr>
                <w:rFonts w:hint="eastAsia" w:ascii="宋体" w:hAnsi="宋体" w:eastAsia="宋体" w:cs="宋体"/>
                <w:b/>
                <w:sz w:val="24"/>
                <w:highlight w:val="none"/>
              </w:rPr>
            </w:pPr>
            <w:r>
              <w:rPr>
                <w:rFonts w:hint="eastAsia" w:ascii="宋体" w:hAnsi="宋体" w:eastAsia="宋体" w:cs="宋体"/>
                <w:b/>
                <w:kern w:val="0"/>
                <w:sz w:val="24"/>
                <w:highlight w:val="none"/>
                <w:lang w:bidi="ar"/>
              </w:rPr>
              <w:t>企业名称</w:t>
            </w:r>
          </w:p>
        </w:tc>
        <w:tc>
          <w:tcPr>
            <w:tcW w:w="5369" w:type="dxa"/>
            <w:tcBorders>
              <w:top w:val="single" w:color="000000" w:sz="4" w:space="0"/>
              <w:left w:val="single" w:color="000000" w:sz="4" w:space="0"/>
              <w:bottom w:val="single" w:color="000000" w:sz="4" w:space="0"/>
              <w:right w:val="single" w:color="000000" w:sz="4" w:space="0"/>
            </w:tcBorders>
            <w:vAlign w:val="center"/>
          </w:tcPr>
          <w:p w14:paraId="732CCFC4">
            <w:pPr>
              <w:widowControl/>
              <w:snapToGrid w:val="0"/>
              <w:jc w:val="center"/>
              <w:textAlignment w:val="center"/>
              <w:rPr>
                <w:rFonts w:hint="eastAsia" w:ascii="宋体" w:hAnsi="宋体" w:eastAsia="宋体" w:cs="宋体"/>
                <w:b/>
                <w:sz w:val="24"/>
                <w:highlight w:val="none"/>
              </w:rPr>
            </w:pPr>
            <w:r>
              <w:rPr>
                <w:rFonts w:hint="eastAsia" w:ascii="宋体" w:hAnsi="宋体" w:eastAsia="宋体" w:cs="宋体"/>
                <w:b/>
                <w:kern w:val="0"/>
                <w:sz w:val="24"/>
                <w:highlight w:val="none"/>
                <w:lang w:val="en-US" w:eastAsia="zh-CN" w:bidi="ar"/>
              </w:rPr>
              <w:t>最终专家</w:t>
            </w:r>
            <w:r>
              <w:rPr>
                <w:rFonts w:hint="eastAsia" w:ascii="宋体" w:hAnsi="宋体" w:eastAsia="宋体" w:cs="宋体"/>
                <w:b/>
                <w:kern w:val="0"/>
                <w:sz w:val="24"/>
                <w:highlight w:val="none"/>
                <w:lang w:bidi="ar"/>
              </w:rPr>
              <w:t>审查</w:t>
            </w:r>
            <w:r>
              <w:rPr>
                <w:rFonts w:hint="eastAsia" w:ascii="宋体" w:hAnsi="宋体" w:eastAsia="宋体" w:cs="宋体"/>
                <w:b/>
                <w:kern w:val="0"/>
                <w:sz w:val="24"/>
                <w:highlight w:val="none"/>
                <w:lang w:val="en-US" w:eastAsia="zh-CN" w:bidi="ar"/>
              </w:rPr>
              <w:t>意见</w:t>
            </w:r>
          </w:p>
        </w:tc>
        <w:tc>
          <w:tcPr>
            <w:tcW w:w="5370" w:type="dxa"/>
            <w:tcBorders>
              <w:top w:val="single" w:color="000000" w:sz="4" w:space="0"/>
              <w:left w:val="single" w:color="000000" w:sz="4" w:space="0"/>
              <w:bottom w:val="single" w:color="000000" w:sz="4" w:space="0"/>
              <w:right w:val="single" w:color="000000" w:sz="4" w:space="0"/>
            </w:tcBorders>
            <w:vAlign w:val="center"/>
          </w:tcPr>
          <w:p w14:paraId="4B0FAD88">
            <w:pPr>
              <w:widowControl/>
              <w:snapToGrid w:val="0"/>
              <w:jc w:val="center"/>
              <w:textAlignment w:val="center"/>
              <w:rPr>
                <w:rFonts w:hint="default" w:ascii="宋体" w:hAnsi="宋体" w:eastAsia="宋体" w:cs="宋体"/>
                <w:b/>
                <w:kern w:val="0"/>
                <w:sz w:val="24"/>
                <w:highlight w:val="none"/>
                <w:lang w:val="en-US" w:eastAsia="zh-CN" w:bidi="ar"/>
              </w:rPr>
            </w:pPr>
            <w:r>
              <w:rPr>
                <w:rFonts w:hint="eastAsia" w:ascii="宋体" w:hAnsi="宋体" w:eastAsia="宋体" w:cs="宋体"/>
                <w:b/>
                <w:kern w:val="0"/>
                <w:sz w:val="24"/>
                <w:highlight w:val="none"/>
                <w:lang w:val="en-US" w:eastAsia="zh-CN" w:bidi="ar"/>
              </w:rPr>
              <w:t>保留意见情况</w:t>
            </w:r>
          </w:p>
        </w:tc>
      </w:tr>
      <w:tr w14:paraId="0965F168">
        <w:tblPrEx>
          <w:tblCellMar>
            <w:top w:w="0" w:type="dxa"/>
            <w:left w:w="108" w:type="dxa"/>
            <w:bottom w:w="0" w:type="dxa"/>
            <w:right w:w="108" w:type="dxa"/>
          </w:tblCellMar>
        </w:tblPrEx>
        <w:trPr>
          <w:trHeight w:val="93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057C7964">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2416" w:type="dxa"/>
            <w:tcBorders>
              <w:top w:val="single" w:color="000000" w:sz="4" w:space="0"/>
              <w:left w:val="single" w:color="000000" w:sz="4" w:space="0"/>
              <w:bottom w:val="single" w:color="000000" w:sz="4" w:space="0"/>
              <w:right w:val="single" w:color="000000" w:sz="4" w:space="0"/>
            </w:tcBorders>
            <w:vAlign w:val="center"/>
          </w:tcPr>
          <w:p w14:paraId="46E3DF15">
            <w:pPr>
              <w:widowControl/>
              <w:snapToGrid w:val="0"/>
              <w:jc w:val="left"/>
              <w:textAlignment w:val="center"/>
              <w:rPr>
                <w:rFonts w:hint="eastAsia" w:ascii="仿宋_GB2312" w:hAnsi="仿宋_GB2312" w:eastAsia="仿宋_GB2312" w:cs="仿宋_GB2312"/>
                <w:bCs/>
                <w:color w:val="000000"/>
                <w:sz w:val="24"/>
                <w:szCs w:val="24"/>
                <w:highlight w:val="none"/>
                <w:lang w:eastAsia="zh-CN"/>
              </w:rPr>
            </w:pPr>
          </w:p>
        </w:tc>
        <w:tc>
          <w:tcPr>
            <w:tcW w:w="5369" w:type="dxa"/>
            <w:tcBorders>
              <w:top w:val="single" w:color="000000" w:sz="4" w:space="0"/>
              <w:left w:val="single" w:color="000000" w:sz="4" w:space="0"/>
              <w:bottom w:val="single" w:color="000000" w:sz="4" w:space="0"/>
              <w:right w:val="single" w:color="000000" w:sz="4" w:space="0"/>
            </w:tcBorders>
            <w:vAlign w:val="center"/>
          </w:tcPr>
          <w:p w14:paraId="74C80796">
            <w:pPr>
              <w:widowControl/>
              <w:snapToGrid w:val="0"/>
              <w:jc w:val="left"/>
              <w:textAlignment w:val="center"/>
              <w:rPr>
                <w:rFonts w:hint="eastAsia" w:ascii="仿宋_GB2312" w:hAnsi="仿宋_GB2312" w:eastAsia="仿宋_GB2312" w:cs="仿宋_GB2312"/>
                <w:bCs/>
                <w:color w:val="000000"/>
                <w:sz w:val="24"/>
                <w:szCs w:val="24"/>
                <w:highlight w:val="none"/>
              </w:rPr>
            </w:pPr>
            <w:r>
              <w:rPr>
                <w:rFonts w:hint="eastAsia" w:ascii="仿宋_GB2312" w:hAnsi="仿宋_GB2312" w:eastAsia="仿宋_GB2312" w:cs="仿宋_GB2312"/>
                <w:b/>
                <w:bCs w:val="0"/>
                <w:color w:val="000000"/>
                <w:kern w:val="0"/>
                <w:sz w:val="24"/>
                <w:szCs w:val="24"/>
                <w:highlight w:val="none"/>
                <w:lang w:val="en-US" w:eastAsia="zh-CN" w:bidi="ar"/>
              </w:rPr>
              <w:t>符合资质要求。/不符合资质要求。（原因）</w:t>
            </w:r>
          </w:p>
        </w:tc>
        <w:tc>
          <w:tcPr>
            <w:tcW w:w="5370" w:type="dxa"/>
            <w:tcBorders>
              <w:top w:val="single" w:color="000000" w:sz="4" w:space="0"/>
              <w:left w:val="single" w:color="000000" w:sz="4" w:space="0"/>
              <w:bottom w:val="single" w:color="000000" w:sz="4" w:space="0"/>
              <w:right w:val="single" w:color="000000" w:sz="4" w:space="0"/>
            </w:tcBorders>
            <w:vAlign w:val="center"/>
          </w:tcPr>
          <w:p w14:paraId="05D21818">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p>
        </w:tc>
      </w:tr>
      <w:tr w14:paraId="069D75D5">
        <w:tblPrEx>
          <w:tblCellMar>
            <w:top w:w="0" w:type="dxa"/>
            <w:left w:w="108" w:type="dxa"/>
            <w:bottom w:w="0" w:type="dxa"/>
            <w:right w:w="108" w:type="dxa"/>
          </w:tblCellMar>
        </w:tblPrEx>
        <w:trPr>
          <w:trHeight w:val="93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5D89F240">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2416" w:type="dxa"/>
            <w:tcBorders>
              <w:top w:val="single" w:color="000000" w:sz="4" w:space="0"/>
              <w:left w:val="single" w:color="000000" w:sz="4" w:space="0"/>
              <w:bottom w:val="single" w:color="000000" w:sz="4" w:space="0"/>
              <w:right w:val="single" w:color="000000" w:sz="4" w:space="0"/>
            </w:tcBorders>
            <w:vAlign w:val="center"/>
          </w:tcPr>
          <w:p w14:paraId="6D68030A">
            <w:pPr>
              <w:widowControl/>
              <w:snapToGrid w:val="0"/>
              <w:jc w:val="left"/>
              <w:textAlignment w:val="center"/>
              <w:rPr>
                <w:rFonts w:hint="eastAsia" w:ascii="仿宋_GB2312" w:hAnsi="仿宋_GB2312" w:eastAsia="仿宋_GB2312" w:cs="仿宋_GB2312"/>
                <w:bCs/>
                <w:color w:val="000000"/>
                <w:sz w:val="24"/>
                <w:szCs w:val="24"/>
                <w:highlight w:val="none"/>
                <w:lang w:eastAsia="zh-CN"/>
              </w:rPr>
            </w:pPr>
          </w:p>
        </w:tc>
        <w:tc>
          <w:tcPr>
            <w:tcW w:w="5369" w:type="dxa"/>
            <w:tcBorders>
              <w:top w:val="single" w:color="000000" w:sz="4" w:space="0"/>
              <w:left w:val="single" w:color="000000" w:sz="4" w:space="0"/>
              <w:bottom w:val="single" w:color="000000" w:sz="4" w:space="0"/>
              <w:right w:val="single" w:color="000000" w:sz="4" w:space="0"/>
            </w:tcBorders>
            <w:vAlign w:val="center"/>
          </w:tcPr>
          <w:p w14:paraId="3C09C9B6">
            <w:pPr>
              <w:widowControl/>
              <w:snapToGrid w:val="0"/>
              <w:jc w:val="left"/>
              <w:textAlignment w:val="center"/>
              <w:rPr>
                <w:rFonts w:hint="eastAsia" w:ascii="仿宋_GB2312" w:hAnsi="仿宋_GB2312" w:eastAsia="仿宋_GB2312" w:cs="仿宋_GB2312"/>
                <w:b/>
                <w:bCs w:val="0"/>
                <w:color w:val="000000"/>
                <w:kern w:val="0"/>
                <w:sz w:val="24"/>
                <w:szCs w:val="24"/>
                <w:highlight w:val="none"/>
                <w:lang w:val="en-US" w:eastAsia="zh-CN" w:bidi="ar"/>
              </w:rPr>
            </w:pPr>
          </w:p>
        </w:tc>
        <w:tc>
          <w:tcPr>
            <w:tcW w:w="5370" w:type="dxa"/>
            <w:tcBorders>
              <w:top w:val="single" w:color="000000" w:sz="4" w:space="0"/>
              <w:left w:val="single" w:color="000000" w:sz="4" w:space="0"/>
              <w:bottom w:val="single" w:color="000000" w:sz="4" w:space="0"/>
              <w:right w:val="single" w:color="000000" w:sz="4" w:space="0"/>
            </w:tcBorders>
            <w:vAlign w:val="center"/>
          </w:tcPr>
          <w:p w14:paraId="234647B9">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p>
        </w:tc>
      </w:tr>
      <w:tr w14:paraId="4F5FDC19">
        <w:tblPrEx>
          <w:tblCellMar>
            <w:top w:w="0" w:type="dxa"/>
            <w:left w:w="108" w:type="dxa"/>
            <w:bottom w:w="0" w:type="dxa"/>
            <w:right w:w="108" w:type="dxa"/>
          </w:tblCellMar>
        </w:tblPrEx>
        <w:trPr>
          <w:trHeight w:val="93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44B0EC89">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2416" w:type="dxa"/>
            <w:tcBorders>
              <w:top w:val="single" w:color="000000" w:sz="4" w:space="0"/>
              <w:left w:val="single" w:color="000000" w:sz="4" w:space="0"/>
              <w:bottom w:val="single" w:color="000000" w:sz="4" w:space="0"/>
              <w:right w:val="single" w:color="000000" w:sz="4" w:space="0"/>
            </w:tcBorders>
            <w:vAlign w:val="center"/>
          </w:tcPr>
          <w:p w14:paraId="458A4DDD">
            <w:pPr>
              <w:widowControl/>
              <w:snapToGrid w:val="0"/>
              <w:jc w:val="left"/>
              <w:textAlignment w:val="center"/>
              <w:rPr>
                <w:rFonts w:hint="eastAsia" w:ascii="仿宋_GB2312" w:hAnsi="仿宋_GB2312" w:eastAsia="仿宋_GB2312" w:cs="仿宋_GB2312"/>
                <w:bCs/>
                <w:color w:val="000000"/>
                <w:sz w:val="24"/>
                <w:szCs w:val="24"/>
                <w:highlight w:val="none"/>
                <w:lang w:eastAsia="zh-CN"/>
              </w:rPr>
            </w:pPr>
          </w:p>
        </w:tc>
        <w:tc>
          <w:tcPr>
            <w:tcW w:w="5369" w:type="dxa"/>
            <w:tcBorders>
              <w:top w:val="single" w:color="000000" w:sz="4" w:space="0"/>
              <w:left w:val="single" w:color="000000" w:sz="4" w:space="0"/>
              <w:bottom w:val="single" w:color="000000" w:sz="4" w:space="0"/>
              <w:right w:val="single" w:color="000000" w:sz="4" w:space="0"/>
            </w:tcBorders>
            <w:vAlign w:val="center"/>
          </w:tcPr>
          <w:p w14:paraId="7C1E0D33">
            <w:pPr>
              <w:widowControl/>
              <w:snapToGrid w:val="0"/>
              <w:jc w:val="left"/>
              <w:textAlignment w:val="center"/>
              <w:rPr>
                <w:rFonts w:hint="eastAsia" w:ascii="仿宋_GB2312" w:hAnsi="仿宋_GB2312" w:eastAsia="仿宋_GB2312" w:cs="仿宋_GB2312"/>
                <w:b/>
                <w:bCs w:val="0"/>
                <w:color w:val="000000"/>
                <w:kern w:val="0"/>
                <w:sz w:val="24"/>
                <w:szCs w:val="24"/>
                <w:highlight w:val="none"/>
                <w:lang w:val="en-US" w:eastAsia="zh-CN" w:bidi="ar"/>
              </w:rPr>
            </w:pPr>
          </w:p>
        </w:tc>
        <w:tc>
          <w:tcPr>
            <w:tcW w:w="5370" w:type="dxa"/>
            <w:tcBorders>
              <w:top w:val="single" w:color="000000" w:sz="4" w:space="0"/>
              <w:left w:val="single" w:color="000000" w:sz="4" w:space="0"/>
              <w:bottom w:val="single" w:color="000000" w:sz="4" w:space="0"/>
              <w:right w:val="single" w:color="000000" w:sz="4" w:space="0"/>
            </w:tcBorders>
            <w:vAlign w:val="center"/>
          </w:tcPr>
          <w:p w14:paraId="05391176">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p>
        </w:tc>
      </w:tr>
    </w:tbl>
    <w:p w14:paraId="717EDD4B">
      <w:pPr>
        <w:keepNext w:val="0"/>
        <w:keepLines w:val="0"/>
        <w:pageBreakBefore w:val="0"/>
        <w:widowControl w:val="0"/>
        <w:numPr>
          <w:ilvl w:val="0"/>
          <w:numId w:val="0"/>
        </w:numPr>
        <w:kinsoku/>
        <w:wordWrap/>
        <w:overflowPunct/>
        <w:topLinePunct w:val="0"/>
        <w:autoSpaceDE/>
        <w:autoSpaceDN/>
        <w:bidi w:val="0"/>
        <w:adjustRightInd/>
        <w:spacing w:line="560" w:lineRule="exact"/>
        <w:textAlignment w:val="auto"/>
        <w:rPr>
          <w:rFonts w:hint="eastAsia" w:ascii="仿宋_GB2312" w:hAnsi="Calibri" w:eastAsia="仿宋_GB2312" w:cs="仿宋_GB2312"/>
          <w:i w:val="0"/>
          <w:caps w:val="0"/>
          <w:color w:val="000000"/>
          <w:spacing w:val="0"/>
          <w:sz w:val="32"/>
          <w:szCs w:val="32"/>
          <w:highlight w:val="none"/>
          <w:shd w:val="clear" w:color="auto" w:fill="FFFFFF"/>
          <w:lang w:val="en-US" w:eastAsia="zh-CN"/>
        </w:rPr>
      </w:pPr>
      <w:r>
        <w:rPr>
          <w:rFonts w:hint="eastAsia" w:ascii="仿宋_GB2312" w:hAnsi="仿宋_GB2312" w:eastAsia="仿宋_GB2312" w:cs="仿宋_GB2312"/>
          <w:i w:val="0"/>
          <w:caps w:val="0"/>
          <w:color w:val="auto"/>
          <w:spacing w:val="0"/>
          <w:sz w:val="32"/>
          <w:szCs w:val="32"/>
          <w:highlight w:val="none"/>
          <w:shd w:val="clear" w:color="auto" w:fill="FFFFFF"/>
          <w:lang w:val="en-US" w:eastAsia="zh-CN"/>
        </w:rPr>
        <w:t>参会人员（含机关纪委列席人员签字）：</w:t>
      </w:r>
    </w:p>
    <w:p w14:paraId="03886DAF">
      <w:pPr>
        <w:keepNext w:val="0"/>
        <w:keepLines w:val="0"/>
        <w:pageBreakBefore w:val="0"/>
        <w:widowControl w:val="0"/>
        <w:numPr>
          <w:ilvl w:val="0"/>
          <w:numId w:val="0"/>
        </w:numPr>
        <w:kinsoku/>
        <w:wordWrap/>
        <w:overflowPunct/>
        <w:topLinePunct w:val="0"/>
        <w:autoSpaceDE/>
        <w:autoSpaceDN/>
        <w:bidi w:val="0"/>
        <w:adjustRightInd/>
        <w:spacing w:line="560" w:lineRule="exact"/>
        <w:textAlignment w:val="auto"/>
        <w:rPr>
          <w:rFonts w:hint="eastAsia" w:ascii="黑体" w:hAnsi="黑体" w:eastAsia="黑体" w:cs="黑体"/>
          <w:sz w:val="32"/>
          <w:szCs w:val="32"/>
          <w:highlight w:val="none"/>
          <w:lang w:val="en-US" w:eastAsia="zh-CN"/>
        </w:rPr>
      </w:pPr>
    </w:p>
    <w:p w14:paraId="0B58537E">
      <w:pPr>
        <w:keepNext w:val="0"/>
        <w:keepLines w:val="0"/>
        <w:pageBreakBefore w:val="0"/>
        <w:widowControl w:val="0"/>
        <w:numPr>
          <w:ilvl w:val="0"/>
          <w:numId w:val="0"/>
        </w:numPr>
        <w:kinsoku/>
        <w:wordWrap/>
        <w:overflowPunct/>
        <w:topLinePunct w:val="0"/>
        <w:autoSpaceDE/>
        <w:autoSpaceDN/>
        <w:bidi w:val="0"/>
        <w:adjustRightInd/>
        <w:spacing w:line="560" w:lineRule="exact"/>
        <w:textAlignment w:val="auto"/>
        <w:rPr>
          <w:rFonts w:hint="eastAsia" w:ascii="黑体" w:hAnsi="黑体" w:eastAsia="黑体" w:cs="黑体"/>
          <w:sz w:val="32"/>
          <w:szCs w:val="32"/>
          <w:highlight w:val="none"/>
          <w:lang w:val="en-US" w:eastAsia="zh-CN"/>
        </w:rPr>
        <w:sectPr>
          <w:pgSz w:w="16838" w:h="11906" w:orient="landscape"/>
          <w:pgMar w:top="1800" w:right="1440" w:bottom="1800" w:left="1440" w:header="851" w:footer="992" w:gutter="0"/>
          <w:pgNumType w:fmt="numberInDash"/>
          <w:cols w:space="720" w:num="1"/>
          <w:docGrid w:type="lines" w:linePitch="312" w:charSpace="0"/>
        </w:sectPr>
      </w:pPr>
    </w:p>
    <w:p w14:paraId="1E1E53FE"/>
    <w:p w14:paraId="03FCFE96">
      <w:pPr>
        <w:keepNext w:val="0"/>
        <w:keepLines w:val="0"/>
        <w:pageBreakBefore w:val="0"/>
        <w:widowControl/>
        <w:numPr>
          <w:ilvl w:val="0"/>
          <w:numId w:val="0"/>
        </w:numPr>
        <w:kinsoku/>
        <w:wordWrap/>
        <w:overflowPunct/>
        <w:topLinePunct w:val="0"/>
        <w:autoSpaceDE/>
        <w:autoSpaceDN/>
        <w:bidi w:val="0"/>
        <w:adjustRightInd/>
        <w:spacing w:line="240" w:lineRule="auto"/>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附件2-4</w:t>
      </w:r>
    </w:p>
    <w:p w14:paraId="73E19097">
      <w:pPr>
        <w:rPr>
          <w:rFonts w:hint="eastAsia" w:ascii="Calibri" w:hAnsi="Calibri" w:eastAsia="宋体" w:cs="Times New Roman"/>
          <w:highlight w:val="none"/>
          <w:lang w:val="en-US" w:eastAsia="zh-CN"/>
        </w:rPr>
      </w:pPr>
    </w:p>
    <w:p w14:paraId="0B4AF86A">
      <w:pPr>
        <w:keepNext w:val="0"/>
        <w:keepLines w:val="0"/>
        <w:pageBreakBefore w:val="0"/>
        <w:widowControl w:val="0"/>
        <w:numPr>
          <w:ilvl w:val="0"/>
          <w:numId w:val="0"/>
        </w:numPr>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p>
    <w:p w14:paraId="715C760D">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hint="eastAsia" w:ascii="Calibri" w:hAnsi="Calibri" w:eastAsia="宋体" w:cs="Times New Roman"/>
          <w:kern w:val="2"/>
          <w:sz w:val="18"/>
          <w:szCs w:val="24"/>
          <w:highlight w:val="none"/>
          <w:lang w:val="en-US" w:eastAsia="zh-CN" w:bidi="ar-SA"/>
        </w:rPr>
      </w:pPr>
    </w:p>
    <w:p w14:paraId="0C32B9C6">
      <w:pPr>
        <w:keepNext w:val="0"/>
        <w:keepLines w:val="0"/>
        <w:pageBreakBefore w:val="0"/>
        <w:widowControl w:val="0"/>
        <w:numPr>
          <w:ilvl w:val="0"/>
          <w:numId w:val="0"/>
        </w:numPr>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辽宁省水利厅关于商请协助核查水利水电工程施工资质申报业绩的函</w:t>
      </w:r>
    </w:p>
    <w:p w14:paraId="199CE085">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hint="eastAsia" w:ascii="方正小标宋简体" w:hAnsi="方正小标宋简体" w:eastAsia="方正小标宋简体" w:cs="方正小标宋简体"/>
          <w:kern w:val="2"/>
          <w:sz w:val="44"/>
          <w:szCs w:val="44"/>
          <w:highlight w:val="none"/>
          <w:lang w:val="en-US" w:eastAsia="zh-CN" w:bidi="ar-SA"/>
        </w:rPr>
      </w:pPr>
    </w:p>
    <w:p w14:paraId="5B6D6F6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XX省</w:t>
      </w:r>
      <w:r>
        <w:rPr>
          <w:rFonts w:hint="eastAsia" w:ascii="仿宋_GB2312" w:hAnsi="仿宋_GB2312" w:eastAsia="仿宋_GB2312" w:cs="仿宋_GB2312"/>
          <w:sz w:val="32"/>
          <w:szCs w:val="32"/>
          <w:highlight w:val="none"/>
          <w:lang w:eastAsia="zh-CN"/>
        </w:rPr>
        <w:t>水利厅：</w:t>
      </w:r>
    </w:p>
    <w:p w14:paraId="03D6DA0C">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为做好我省水利水电工程施工资质行业审查工作，确保企业申报业绩的真实性，现商请贵厅协助对辖区内的</w:t>
      </w:r>
      <w:r>
        <w:rPr>
          <w:rFonts w:hint="eastAsia" w:ascii="仿宋_GB2312" w:hAnsi="仿宋_GB2312" w:eastAsia="仿宋_GB2312" w:cs="仿宋_GB2312"/>
          <w:sz w:val="32"/>
          <w:szCs w:val="32"/>
          <w:highlight w:val="none"/>
          <w:lang w:val="en-US" w:eastAsia="zh-CN"/>
        </w:rPr>
        <w:t>“XXXX”</w:t>
      </w:r>
      <w:r>
        <w:rPr>
          <w:rFonts w:hint="eastAsia" w:ascii="仿宋_GB2312" w:hAnsi="仿宋_GB2312" w:eastAsia="仿宋_GB2312" w:cs="仿宋_GB2312"/>
          <w:sz w:val="32"/>
          <w:szCs w:val="32"/>
          <w:highlight w:val="none"/>
          <w:lang w:eastAsia="zh-CN"/>
        </w:rPr>
        <w:t>业绩进行核查，并填写《业绩核查表》（见附件）。请于</w:t>
      </w:r>
      <w:r>
        <w:rPr>
          <w:rFonts w:hint="eastAsia" w:ascii="仿宋_GB2312" w:hAnsi="仿宋_GB2312" w:eastAsia="仿宋_GB2312" w:cs="仿宋_GB2312"/>
          <w:sz w:val="32"/>
          <w:szCs w:val="32"/>
          <w:highlight w:val="none"/>
          <w:lang w:val="en-US" w:eastAsia="zh-CN"/>
        </w:rPr>
        <w:t>XX月XX</w:t>
      </w:r>
      <w:r>
        <w:rPr>
          <w:rFonts w:hint="eastAsia" w:ascii="仿宋_GB2312" w:hAnsi="仿宋_GB2312" w:eastAsia="仿宋_GB2312" w:cs="仿宋_GB2312"/>
          <w:color w:val="auto"/>
          <w:sz w:val="32"/>
          <w:szCs w:val="32"/>
          <w:highlight w:val="none"/>
          <w:lang w:val="en-US" w:eastAsia="zh-CN"/>
        </w:rPr>
        <w:t>日</w:t>
      </w:r>
      <w:r>
        <w:rPr>
          <w:rFonts w:hint="eastAsia" w:ascii="仿宋_GB2312" w:hAnsi="仿宋_GB2312" w:eastAsia="仿宋_GB2312" w:cs="仿宋_GB2312"/>
          <w:sz w:val="32"/>
          <w:szCs w:val="32"/>
          <w:highlight w:val="none"/>
          <w:lang w:val="en-US" w:eastAsia="zh-CN"/>
        </w:rPr>
        <w:t>前将核查表及相关证明材料（中标通知书、合同协议书、验收文件等）电子版反馈我厅。</w:t>
      </w:r>
    </w:p>
    <w:p w14:paraId="1AD14B7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专此致函，感谢贵厅的大力支持。</w:t>
      </w:r>
    </w:p>
    <w:p w14:paraId="74BDE72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联系人：辽宁省水利厅建设与运行管理处  XXXX</w:t>
      </w:r>
    </w:p>
    <w:p w14:paraId="41D3D0B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电  话： XXXX</w:t>
      </w:r>
    </w:p>
    <w:p w14:paraId="71C5C33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sz w:val="32"/>
          <w:szCs w:val="32"/>
          <w:highlight w:val="none"/>
          <w:lang w:val="en-US" w:eastAsia="zh-CN"/>
        </w:rPr>
        <w:t>邮  箱：</w:t>
      </w:r>
      <w:r>
        <w:rPr>
          <w:highlight w:val="none"/>
        </w:rPr>
        <w:fldChar w:fldCharType="begin"/>
      </w:r>
      <w:r>
        <w:rPr>
          <w:highlight w:val="none"/>
        </w:rPr>
        <w:instrText xml:space="preserve"> HYPERLINK "mailto:lnsljg@163.com" </w:instrText>
      </w:r>
      <w:r>
        <w:rPr>
          <w:highlight w:val="none"/>
        </w:rPr>
        <w:fldChar w:fldCharType="separate"/>
      </w:r>
      <w:r>
        <w:rPr>
          <w:rFonts w:hint="eastAsia" w:ascii="仿宋_GB2312" w:hAnsi="仿宋_GB2312" w:eastAsia="仿宋_GB2312" w:cs="仿宋_GB2312"/>
          <w:color w:val="191919"/>
          <w:sz w:val="32"/>
          <w:szCs w:val="32"/>
          <w:highlight w:val="none"/>
          <w:u w:val="none"/>
          <w:lang w:val="en-US" w:eastAsia="zh-CN"/>
        </w:rPr>
        <w:t>lnsljg</w:t>
      </w:r>
      <w:r>
        <w:rPr>
          <w:rFonts w:hint="eastAsia" w:ascii="宋体" w:hAnsi="宋体" w:eastAsia="宋体" w:cs="宋体"/>
          <w:color w:val="191919"/>
          <w:sz w:val="32"/>
          <w:szCs w:val="32"/>
          <w:highlight w:val="none"/>
          <w:u w:val="none"/>
          <w:lang w:val="en-US" w:eastAsia="zh-CN"/>
        </w:rPr>
        <w:t>@</w:t>
      </w:r>
      <w:r>
        <w:rPr>
          <w:rFonts w:hint="eastAsia" w:ascii="仿宋_GB2312" w:hAnsi="仿宋_GB2312" w:eastAsia="仿宋_GB2312" w:cs="仿宋_GB2312"/>
          <w:color w:val="191919"/>
          <w:sz w:val="32"/>
          <w:szCs w:val="32"/>
          <w:highlight w:val="none"/>
          <w:u w:val="none"/>
          <w:lang w:val="en-US" w:eastAsia="zh-CN"/>
        </w:rPr>
        <w:t>163.com</w:t>
      </w:r>
      <w:r>
        <w:rPr>
          <w:rFonts w:hint="eastAsia" w:ascii="仿宋_GB2312" w:hAnsi="仿宋_GB2312" w:eastAsia="仿宋_GB2312" w:cs="仿宋_GB2312"/>
          <w:color w:val="191919"/>
          <w:sz w:val="32"/>
          <w:szCs w:val="32"/>
          <w:highlight w:val="none"/>
          <w:u w:val="none"/>
          <w:lang w:val="en-US" w:eastAsia="zh-CN"/>
        </w:rPr>
        <w:fldChar w:fldCharType="end"/>
      </w:r>
    </w:p>
    <w:p w14:paraId="281A089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附件：业绩核查表</w:t>
      </w:r>
    </w:p>
    <w:p w14:paraId="72D1315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p>
    <w:p w14:paraId="0C33066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p>
    <w:p w14:paraId="25620052">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760" w:firstLineChars="18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辽宁省水利厅</w:t>
      </w:r>
    </w:p>
    <w:p w14:paraId="375186F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0" w:firstLineChars="175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XXXX年XX月XX日</w:t>
      </w:r>
    </w:p>
    <w:p w14:paraId="3BE3A7A6">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hint="eastAsia" w:ascii="仿宋_GB2312" w:hAnsi="仿宋_GB2312" w:eastAsia="仿宋_GB2312" w:cs="仿宋_GB2312"/>
          <w:kern w:val="2"/>
          <w:sz w:val="32"/>
          <w:szCs w:val="32"/>
          <w:highlight w:val="none"/>
          <w:lang w:val="en-US" w:eastAsia="zh-CN" w:bidi="ar-SA"/>
        </w:rPr>
      </w:pPr>
    </w:p>
    <w:p w14:paraId="68C42E15">
      <w:pPr>
        <w:rPr>
          <w:rFonts w:hint="eastAsia" w:ascii="仿宋_GB2312" w:hAnsi="仿宋_GB2312" w:eastAsia="仿宋_GB2312" w:cs="仿宋_GB2312"/>
          <w:sz w:val="32"/>
          <w:szCs w:val="32"/>
          <w:highlight w:val="none"/>
          <w:lang w:val="en-US" w:eastAsia="zh-CN"/>
        </w:rPr>
      </w:pPr>
    </w:p>
    <w:p w14:paraId="3468520A">
      <w:pPr>
        <w:tabs>
          <w:tab w:val="center" w:pos="4153"/>
          <w:tab w:val="right" w:pos="8306"/>
        </w:tabs>
        <w:rPr>
          <w:rFonts w:hint="eastAsia" w:ascii="仿宋_GB2312" w:hAnsi="仿宋_GB2312" w:eastAsia="仿宋_GB2312" w:cs="仿宋_GB2312"/>
          <w:sz w:val="32"/>
          <w:szCs w:val="32"/>
          <w:highlight w:val="none"/>
          <w:lang w:val="en-US" w:eastAsia="zh-CN"/>
        </w:rPr>
        <w:sectPr>
          <w:pgSz w:w="11906" w:h="16838"/>
          <w:pgMar w:top="1440" w:right="1800" w:bottom="1440" w:left="1800" w:header="851" w:footer="992" w:gutter="0"/>
          <w:pgNumType w:fmt="numberInDash"/>
          <w:cols w:space="720" w:num="1"/>
          <w:docGrid w:type="lines" w:linePitch="312" w:charSpace="0"/>
        </w:sectPr>
      </w:pPr>
    </w:p>
    <w:tbl>
      <w:tblPr>
        <w:tblStyle w:val="4"/>
        <w:tblW w:w="141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16"/>
        <w:gridCol w:w="2866"/>
        <w:gridCol w:w="575"/>
        <w:gridCol w:w="935"/>
        <w:gridCol w:w="1724"/>
        <w:gridCol w:w="575"/>
        <w:gridCol w:w="575"/>
        <w:gridCol w:w="816"/>
        <w:gridCol w:w="782"/>
        <w:gridCol w:w="641"/>
        <w:gridCol w:w="1120"/>
        <w:gridCol w:w="760"/>
        <w:gridCol w:w="760"/>
        <w:gridCol w:w="879"/>
        <w:gridCol w:w="650"/>
      </w:tblGrid>
      <w:tr w14:paraId="054F54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174" w:type="dxa"/>
            <w:gridSpan w:val="15"/>
            <w:tcBorders>
              <w:top w:val="nil"/>
              <w:left w:val="nil"/>
              <w:bottom w:val="nil"/>
              <w:right w:val="nil"/>
            </w:tcBorders>
            <w:vAlign w:val="center"/>
          </w:tcPr>
          <w:p w14:paraId="565E0A7F">
            <w:pPr>
              <w:keepNext w:val="0"/>
              <w:keepLines w:val="0"/>
              <w:widowControl/>
              <w:suppressLineNumbers w:val="0"/>
              <w:snapToGrid w:val="0"/>
              <w:jc w:val="left"/>
              <w:textAlignment w:val="center"/>
              <w:rPr>
                <w:rFonts w:hint="default" w:ascii="黑体" w:hAnsi="黑体" w:eastAsia="黑体" w:cs="黑体"/>
                <w:i w:val="0"/>
                <w:iCs w:val="0"/>
                <w:color w:val="000000"/>
                <w:kern w:val="0"/>
                <w:sz w:val="32"/>
                <w:szCs w:val="32"/>
                <w:highlight w:val="none"/>
                <w:u w:val="none"/>
                <w:lang w:val="en-US" w:eastAsia="zh-CN" w:bidi="ar"/>
              </w:rPr>
            </w:pPr>
            <w:r>
              <w:rPr>
                <w:rFonts w:hint="eastAsia" w:ascii="黑体" w:hAnsi="黑体" w:eastAsia="黑体" w:cs="黑体"/>
                <w:i w:val="0"/>
                <w:iCs w:val="0"/>
                <w:color w:val="000000"/>
                <w:kern w:val="0"/>
                <w:sz w:val="32"/>
                <w:szCs w:val="32"/>
                <w:highlight w:val="none"/>
                <w:u w:val="none"/>
                <w:lang w:val="en-US" w:eastAsia="zh-CN" w:bidi="ar"/>
              </w:rPr>
              <w:t>附件</w:t>
            </w:r>
          </w:p>
          <w:p w14:paraId="16603AD0">
            <w:pPr>
              <w:keepNext w:val="0"/>
              <w:keepLines w:val="0"/>
              <w:widowControl/>
              <w:suppressLineNumbers w:val="0"/>
              <w:snapToGrid w:val="0"/>
              <w:jc w:val="center"/>
              <w:textAlignment w:val="center"/>
              <w:rPr>
                <w:rFonts w:ascii="方正小标宋简体" w:hAnsi="方正小标宋简体" w:eastAsia="方正小标宋简体" w:cs="方正小标宋简体"/>
                <w:i w:val="0"/>
                <w:iCs w:val="0"/>
                <w:color w:val="000000"/>
                <w:sz w:val="48"/>
                <w:szCs w:val="48"/>
                <w:highlight w:val="none"/>
                <w:u w:val="none"/>
              </w:rPr>
            </w:pPr>
            <w:r>
              <w:rPr>
                <w:rFonts w:hint="eastAsia" w:ascii="方正小标宋简体" w:hAnsi="方正小标宋简体" w:eastAsia="方正小标宋简体" w:cs="方正小标宋简体"/>
                <w:i w:val="0"/>
                <w:iCs w:val="0"/>
                <w:color w:val="000000"/>
                <w:kern w:val="0"/>
                <w:sz w:val="44"/>
                <w:szCs w:val="44"/>
                <w:highlight w:val="none"/>
                <w:u w:val="none"/>
                <w:lang w:val="en-US" w:eastAsia="zh-CN" w:bidi="ar"/>
              </w:rPr>
              <w:t>业绩核查表</w:t>
            </w:r>
          </w:p>
        </w:tc>
      </w:tr>
      <w:tr w14:paraId="5BC5F5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9364" w:type="dxa"/>
            <w:gridSpan w:val="9"/>
            <w:tcBorders>
              <w:top w:val="nil"/>
              <w:left w:val="nil"/>
              <w:bottom w:val="nil"/>
              <w:right w:val="nil"/>
            </w:tcBorders>
            <w:vAlign w:val="center"/>
          </w:tcPr>
          <w:p w14:paraId="7DB37B00">
            <w:pPr>
              <w:keepNext w:val="0"/>
              <w:keepLines w:val="0"/>
              <w:widowControl/>
              <w:suppressLineNumbers w:val="0"/>
              <w:snapToGrid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填报单位（盖章）：</w:t>
            </w:r>
          </w:p>
        </w:tc>
        <w:tc>
          <w:tcPr>
            <w:tcW w:w="641" w:type="dxa"/>
            <w:tcBorders>
              <w:top w:val="nil"/>
              <w:left w:val="nil"/>
              <w:bottom w:val="nil"/>
              <w:right w:val="nil"/>
            </w:tcBorders>
            <w:vAlign w:val="center"/>
          </w:tcPr>
          <w:p w14:paraId="7AA1A571">
            <w:pPr>
              <w:snapToGrid w:val="0"/>
              <w:rPr>
                <w:rFonts w:hint="eastAsia" w:ascii="宋体" w:hAnsi="宋体" w:eastAsia="宋体" w:cs="宋体"/>
                <w:i w:val="0"/>
                <w:iCs w:val="0"/>
                <w:color w:val="000000"/>
                <w:sz w:val="24"/>
                <w:szCs w:val="24"/>
                <w:highlight w:val="none"/>
                <w:u w:val="none"/>
              </w:rPr>
            </w:pPr>
          </w:p>
        </w:tc>
        <w:tc>
          <w:tcPr>
            <w:tcW w:w="4169" w:type="dxa"/>
            <w:gridSpan w:val="5"/>
            <w:tcBorders>
              <w:top w:val="nil"/>
              <w:left w:val="nil"/>
              <w:bottom w:val="nil"/>
              <w:right w:val="nil"/>
            </w:tcBorders>
            <w:vAlign w:val="center"/>
          </w:tcPr>
          <w:p w14:paraId="447115E3">
            <w:pPr>
              <w:keepNext w:val="0"/>
              <w:keepLines w:val="0"/>
              <w:widowControl/>
              <w:suppressLineNumbers w:val="0"/>
              <w:snapToGrid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填报时间：</w:t>
            </w:r>
          </w:p>
        </w:tc>
      </w:tr>
      <w:tr w14:paraId="29AFA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16" w:type="dxa"/>
            <w:vMerge w:val="restart"/>
            <w:tcBorders>
              <w:top w:val="single" w:color="000000" w:sz="4" w:space="0"/>
              <w:left w:val="single" w:color="000000" w:sz="4" w:space="0"/>
              <w:bottom w:val="single" w:color="000000" w:sz="4" w:space="0"/>
              <w:right w:val="single" w:color="000000" w:sz="4" w:space="0"/>
            </w:tcBorders>
            <w:vAlign w:val="center"/>
          </w:tcPr>
          <w:p w14:paraId="6D0A523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序号</w:t>
            </w:r>
          </w:p>
        </w:tc>
        <w:tc>
          <w:tcPr>
            <w:tcW w:w="2866" w:type="dxa"/>
            <w:vMerge w:val="restart"/>
            <w:tcBorders>
              <w:top w:val="single" w:color="000000" w:sz="4" w:space="0"/>
              <w:left w:val="single" w:color="000000" w:sz="4" w:space="0"/>
              <w:bottom w:val="single" w:color="000000" w:sz="4" w:space="0"/>
              <w:right w:val="single" w:color="000000" w:sz="4" w:space="0"/>
            </w:tcBorders>
            <w:vAlign w:val="center"/>
          </w:tcPr>
          <w:p w14:paraId="25D0097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业绩</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名称</w:t>
            </w:r>
          </w:p>
        </w:tc>
        <w:tc>
          <w:tcPr>
            <w:tcW w:w="575" w:type="dxa"/>
            <w:vMerge w:val="restart"/>
            <w:tcBorders>
              <w:top w:val="single" w:color="000000" w:sz="4" w:space="0"/>
              <w:left w:val="single" w:color="000000" w:sz="4" w:space="0"/>
              <w:bottom w:val="single" w:color="000000" w:sz="4" w:space="0"/>
              <w:right w:val="single" w:color="000000" w:sz="4" w:space="0"/>
            </w:tcBorders>
            <w:vAlign w:val="center"/>
          </w:tcPr>
          <w:p w14:paraId="7FDBE9F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所在地</w:t>
            </w:r>
          </w:p>
        </w:tc>
        <w:tc>
          <w:tcPr>
            <w:tcW w:w="935" w:type="dxa"/>
            <w:vMerge w:val="restart"/>
            <w:tcBorders>
              <w:top w:val="single" w:color="000000" w:sz="4" w:space="0"/>
              <w:left w:val="single" w:color="000000" w:sz="4" w:space="0"/>
              <w:bottom w:val="single" w:color="000000" w:sz="4" w:space="0"/>
              <w:right w:val="single" w:color="000000" w:sz="4" w:space="0"/>
            </w:tcBorders>
            <w:vAlign w:val="center"/>
          </w:tcPr>
          <w:p w14:paraId="0FDDC27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是否为水利水电工程</w:t>
            </w:r>
          </w:p>
        </w:tc>
        <w:tc>
          <w:tcPr>
            <w:tcW w:w="1724" w:type="dxa"/>
            <w:vMerge w:val="restart"/>
            <w:tcBorders>
              <w:top w:val="single" w:color="000000" w:sz="4" w:space="0"/>
              <w:left w:val="single" w:color="000000" w:sz="4" w:space="0"/>
              <w:bottom w:val="single" w:color="000000" w:sz="4" w:space="0"/>
              <w:right w:val="single" w:color="000000" w:sz="4" w:space="0"/>
            </w:tcBorders>
            <w:vAlign w:val="center"/>
          </w:tcPr>
          <w:p w14:paraId="25F2E36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技术指标</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（坝高、库容、过闸流量、总装机容量等）</w:t>
            </w:r>
          </w:p>
        </w:tc>
        <w:tc>
          <w:tcPr>
            <w:tcW w:w="575" w:type="dxa"/>
            <w:vMerge w:val="restart"/>
            <w:tcBorders>
              <w:top w:val="single" w:color="000000" w:sz="4" w:space="0"/>
              <w:left w:val="single" w:color="000000" w:sz="4" w:space="0"/>
              <w:bottom w:val="single" w:color="000000" w:sz="4" w:space="0"/>
              <w:right w:val="single" w:color="000000" w:sz="4" w:space="0"/>
            </w:tcBorders>
            <w:vAlign w:val="center"/>
          </w:tcPr>
          <w:p w14:paraId="7621CD91">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项目法</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人单位</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名称</w:t>
            </w:r>
          </w:p>
        </w:tc>
        <w:tc>
          <w:tcPr>
            <w:tcW w:w="575" w:type="dxa"/>
            <w:vMerge w:val="restart"/>
            <w:tcBorders>
              <w:top w:val="single" w:color="000000" w:sz="4" w:space="0"/>
              <w:left w:val="single" w:color="000000" w:sz="4" w:space="0"/>
              <w:bottom w:val="single" w:color="000000" w:sz="4" w:space="0"/>
              <w:right w:val="single" w:color="000000" w:sz="4" w:space="0"/>
            </w:tcBorders>
            <w:vAlign w:val="center"/>
          </w:tcPr>
          <w:p w14:paraId="48132D2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施工单</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位名称</w:t>
            </w:r>
          </w:p>
        </w:tc>
        <w:tc>
          <w:tcPr>
            <w:tcW w:w="816" w:type="dxa"/>
            <w:vMerge w:val="restart"/>
            <w:tcBorders>
              <w:top w:val="single" w:color="000000" w:sz="4" w:space="0"/>
              <w:left w:val="single" w:color="000000" w:sz="4" w:space="0"/>
              <w:bottom w:val="single" w:color="000000" w:sz="4" w:space="0"/>
              <w:right w:val="single" w:color="000000" w:sz="4" w:space="0"/>
            </w:tcBorders>
            <w:vAlign w:val="center"/>
          </w:tcPr>
          <w:p w14:paraId="5F821AF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项目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经理及任职时间</w:t>
            </w:r>
          </w:p>
        </w:tc>
        <w:tc>
          <w:tcPr>
            <w:tcW w:w="782" w:type="dxa"/>
            <w:vMerge w:val="restart"/>
            <w:tcBorders>
              <w:top w:val="single" w:color="000000" w:sz="4" w:space="0"/>
              <w:left w:val="single" w:color="000000" w:sz="4" w:space="0"/>
              <w:bottom w:val="single" w:color="000000" w:sz="4" w:space="0"/>
              <w:right w:val="single" w:color="000000" w:sz="4" w:space="0"/>
            </w:tcBorders>
            <w:vAlign w:val="center"/>
          </w:tcPr>
          <w:p w14:paraId="2FC68E2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技术</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负责</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人及任职时间</w:t>
            </w:r>
          </w:p>
        </w:tc>
        <w:tc>
          <w:tcPr>
            <w:tcW w:w="1761" w:type="dxa"/>
            <w:gridSpan w:val="2"/>
            <w:tcBorders>
              <w:top w:val="single" w:color="000000" w:sz="4" w:space="0"/>
              <w:left w:val="single" w:color="000000" w:sz="4" w:space="0"/>
              <w:bottom w:val="single" w:color="000000" w:sz="4" w:space="0"/>
              <w:right w:val="single" w:color="000000" w:sz="4" w:space="0"/>
            </w:tcBorders>
            <w:vAlign w:val="center"/>
          </w:tcPr>
          <w:p w14:paraId="1E05B23A">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承包合同</w:t>
            </w:r>
          </w:p>
        </w:tc>
        <w:tc>
          <w:tcPr>
            <w:tcW w:w="3049" w:type="dxa"/>
            <w:gridSpan w:val="4"/>
            <w:tcBorders>
              <w:top w:val="single" w:color="000000" w:sz="4" w:space="0"/>
              <w:left w:val="single" w:color="000000" w:sz="4" w:space="0"/>
              <w:bottom w:val="single" w:color="000000" w:sz="4" w:space="0"/>
              <w:right w:val="single" w:color="000000" w:sz="4" w:space="0"/>
            </w:tcBorders>
            <w:vAlign w:val="center"/>
          </w:tcPr>
          <w:p w14:paraId="49ECFDC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建设时间（年月）</w:t>
            </w:r>
          </w:p>
        </w:tc>
      </w:tr>
      <w:tr w14:paraId="6ED8B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516" w:type="dxa"/>
            <w:vMerge w:val="continue"/>
            <w:tcBorders>
              <w:top w:val="single" w:color="000000" w:sz="4" w:space="0"/>
              <w:left w:val="single" w:color="000000" w:sz="4" w:space="0"/>
              <w:bottom w:val="single" w:color="000000" w:sz="4" w:space="0"/>
              <w:right w:val="single" w:color="000000" w:sz="4" w:space="0"/>
            </w:tcBorders>
            <w:vAlign w:val="center"/>
          </w:tcPr>
          <w:p w14:paraId="0FB333CE">
            <w:pPr>
              <w:snapToGrid w:val="0"/>
              <w:jc w:val="center"/>
              <w:rPr>
                <w:rFonts w:hint="eastAsia" w:ascii="宋体" w:hAnsi="宋体" w:eastAsia="宋体" w:cs="宋体"/>
                <w:i w:val="0"/>
                <w:iCs w:val="0"/>
                <w:color w:val="000000"/>
                <w:sz w:val="24"/>
                <w:szCs w:val="24"/>
                <w:highlight w:val="none"/>
                <w:u w:val="none"/>
              </w:rPr>
            </w:pPr>
          </w:p>
        </w:tc>
        <w:tc>
          <w:tcPr>
            <w:tcW w:w="2866" w:type="dxa"/>
            <w:vMerge w:val="continue"/>
            <w:tcBorders>
              <w:top w:val="single" w:color="000000" w:sz="4" w:space="0"/>
              <w:left w:val="single" w:color="000000" w:sz="4" w:space="0"/>
              <w:bottom w:val="single" w:color="000000" w:sz="4" w:space="0"/>
              <w:right w:val="single" w:color="000000" w:sz="4" w:space="0"/>
            </w:tcBorders>
            <w:vAlign w:val="center"/>
          </w:tcPr>
          <w:p w14:paraId="2EA052E8">
            <w:pPr>
              <w:snapToGrid w:val="0"/>
              <w:jc w:val="center"/>
              <w:rPr>
                <w:rFonts w:hint="eastAsia" w:ascii="宋体" w:hAnsi="宋体" w:eastAsia="宋体" w:cs="宋体"/>
                <w:i w:val="0"/>
                <w:iCs w:val="0"/>
                <w:color w:val="000000"/>
                <w:sz w:val="24"/>
                <w:szCs w:val="24"/>
                <w:highlight w:val="none"/>
                <w:u w:val="none"/>
              </w:rPr>
            </w:pPr>
          </w:p>
        </w:tc>
        <w:tc>
          <w:tcPr>
            <w:tcW w:w="575" w:type="dxa"/>
            <w:vMerge w:val="continue"/>
            <w:tcBorders>
              <w:top w:val="single" w:color="000000" w:sz="4" w:space="0"/>
              <w:left w:val="single" w:color="000000" w:sz="4" w:space="0"/>
              <w:bottom w:val="single" w:color="000000" w:sz="4" w:space="0"/>
              <w:right w:val="single" w:color="000000" w:sz="4" w:space="0"/>
            </w:tcBorders>
            <w:vAlign w:val="center"/>
          </w:tcPr>
          <w:p w14:paraId="726D1473">
            <w:pPr>
              <w:snapToGrid w:val="0"/>
              <w:jc w:val="center"/>
              <w:rPr>
                <w:rFonts w:hint="eastAsia" w:ascii="宋体" w:hAnsi="宋体" w:eastAsia="宋体" w:cs="宋体"/>
                <w:i w:val="0"/>
                <w:iCs w:val="0"/>
                <w:color w:val="000000"/>
                <w:sz w:val="24"/>
                <w:szCs w:val="24"/>
                <w:highlight w:val="none"/>
                <w:u w:val="none"/>
              </w:rPr>
            </w:pPr>
          </w:p>
        </w:tc>
        <w:tc>
          <w:tcPr>
            <w:tcW w:w="935" w:type="dxa"/>
            <w:vMerge w:val="continue"/>
            <w:tcBorders>
              <w:top w:val="single" w:color="000000" w:sz="4" w:space="0"/>
              <w:left w:val="single" w:color="000000" w:sz="4" w:space="0"/>
              <w:bottom w:val="single" w:color="000000" w:sz="4" w:space="0"/>
              <w:right w:val="single" w:color="000000" w:sz="4" w:space="0"/>
            </w:tcBorders>
            <w:vAlign w:val="center"/>
          </w:tcPr>
          <w:p w14:paraId="6EE5D034">
            <w:pPr>
              <w:snapToGrid w:val="0"/>
              <w:jc w:val="center"/>
              <w:rPr>
                <w:rFonts w:hint="eastAsia" w:ascii="宋体" w:hAnsi="宋体" w:eastAsia="宋体" w:cs="宋体"/>
                <w:i w:val="0"/>
                <w:iCs w:val="0"/>
                <w:color w:val="000000"/>
                <w:sz w:val="24"/>
                <w:szCs w:val="24"/>
                <w:highlight w:val="none"/>
                <w:u w:val="none"/>
              </w:rPr>
            </w:pPr>
          </w:p>
        </w:tc>
        <w:tc>
          <w:tcPr>
            <w:tcW w:w="1724" w:type="dxa"/>
            <w:vMerge w:val="continue"/>
            <w:tcBorders>
              <w:top w:val="single" w:color="000000" w:sz="4" w:space="0"/>
              <w:left w:val="single" w:color="000000" w:sz="4" w:space="0"/>
              <w:bottom w:val="single" w:color="000000" w:sz="4" w:space="0"/>
              <w:right w:val="single" w:color="000000" w:sz="4" w:space="0"/>
            </w:tcBorders>
            <w:vAlign w:val="center"/>
          </w:tcPr>
          <w:p w14:paraId="1ED7ECF4">
            <w:pPr>
              <w:snapToGrid w:val="0"/>
              <w:jc w:val="center"/>
              <w:rPr>
                <w:rFonts w:hint="eastAsia" w:ascii="宋体" w:hAnsi="宋体" w:eastAsia="宋体" w:cs="宋体"/>
                <w:i w:val="0"/>
                <w:iCs w:val="0"/>
                <w:color w:val="000000"/>
                <w:sz w:val="24"/>
                <w:szCs w:val="24"/>
                <w:highlight w:val="none"/>
                <w:u w:val="none"/>
              </w:rPr>
            </w:pPr>
          </w:p>
        </w:tc>
        <w:tc>
          <w:tcPr>
            <w:tcW w:w="575" w:type="dxa"/>
            <w:vMerge w:val="continue"/>
            <w:tcBorders>
              <w:top w:val="single" w:color="000000" w:sz="4" w:space="0"/>
              <w:left w:val="single" w:color="000000" w:sz="4" w:space="0"/>
              <w:bottom w:val="single" w:color="000000" w:sz="4" w:space="0"/>
              <w:right w:val="single" w:color="000000" w:sz="4" w:space="0"/>
            </w:tcBorders>
            <w:vAlign w:val="center"/>
          </w:tcPr>
          <w:p w14:paraId="1EAF2019">
            <w:pPr>
              <w:snapToGrid w:val="0"/>
              <w:jc w:val="center"/>
              <w:rPr>
                <w:rFonts w:hint="eastAsia" w:ascii="宋体" w:hAnsi="宋体" w:eastAsia="宋体" w:cs="宋体"/>
                <w:i w:val="0"/>
                <w:iCs w:val="0"/>
                <w:color w:val="000000"/>
                <w:sz w:val="24"/>
                <w:szCs w:val="24"/>
                <w:highlight w:val="none"/>
                <w:u w:val="none"/>
              </w:rPr>
            </w:pPr>
          </w:p>
        </w:tc>
        <w:tc>
          <w:tcPr>
            <w:tcW w:w="575" w:type="dxa"/>
            <w:vMerge w:val="continue"/>
            <w:tcBorders>
              <w:top w:val="single" w:color="000000" w:sz="4" w:space="0"/>
              <w:left w:val="single" w:color="000000" w:sz="4" w:space="0"/>
              <w:bottom w:val="single" w:color="000000" w:sz="4" w:space="0"/>
              <w:right w:val="single" w:color="000000" w:sz="4" w:space="0"/>
            </w:tcBorders>
            <w:vAlign w:val="center"/>
          </w:tcPr>
          <w:p w14:paraId="7EB90092">
            <w:pPr>
              <w:snapToGrid w:val="0"/>
              <w:jc w:val="center"/>
              <w:rPr>
                <w:rFonts w:hint="eastAsia" w:ascii="宋体" w:hAnsi="宋体" w:eastAsia="宋体" w:cs="宋体"/>
                <w:i w:val="0"/>
                <w:iCs w:val="0"/>
                <w:color w:val="000000"/>
                <w:sz w:val="24"/>
                <w:szCs w:val="24"/>
                <w:highlight w:val="none"/>
                <w:u w:val="none"/>
              </w:rPr>
            </w:pPr>
          </w:p>
        </w:tc>
        <w:tc>
          <w:tcPr>
            <w:tcW w:w="816" w:type="dxa"/>
            <w:vMerge w:val="continue"/>
            <w:tcBorders>
              <w:top w:val="single" w:color="000000" w:sz="4" w:space="0"/>
              <w:left w:val="single" w:color="000000" w:sz="4" w:space="0"/>
              <w:bottom w:val="single" w:color="000000" w:sz="4" w:space="0"/>
              <w:right w:val="single" w:color="000000" w:sz="4" w:space="0"/>
            </w:tcBorders>
            <w:vAlign w:val="center"/>
          </w:tcPr>
          <w:p w14:paraId="70C03CB9">
            <w:pPr>
              <w:snapToGrid w:val="0"/>
              <w:jc w:val="center"/>
              <w:rPr>
                <w:rFonts w:hint="eastAsia" w:ascii="宋体" w:hAnsi="宋体" w:eastAsia="宋体" w:cs="宋体"/>
                <w:i w:val="0"/>
                <w:iCs w:val="0"/>
                <w:color w:val="000000"/>
                <w:sz w:val="24"/>
                <w:szCs w:val="24"/>
                <w:highlight w:val="none"/>
                <w:u w:val="none"/>
              </w:rPr>
            </w:pPr>
          </w:p>
        </w:tc>
        <w:tc>
          <w:tcPr>
            <w:tcW w:w="782" w:type="dxa"/>
            <w:vMerge w:val="continue"/>
            <w:tcBorders>
              <w:top w:val="single" w:color="000000" w:sz="4" w:space="0"/>
              <w:left w:val="single" w:color="000000" w:sz="4" w:space="0"/>
              <w:bottom w:val="single" w:color="000000" w:sz="4" w:space="0"/>
              <w:right w:val="single" w:color="000000" w:sz="4" w:space="0"/>
            </w:tcBorders>
            <w:vAlign w:val="center"/>
          </w:tcPr>
          <w:p w14:paraId="1CC20670">
            <w:pPr>
              <w:snapToGrid w:val="0"/>
              <w:jc w:val="center"/>
              <w:rPr>
                <w:rFonts w:hint="eastAsia" w:ascii="宋体" w:hAnsi="宋体" w:eastAsia="宋体" w:cs="宋体"/>
                <w:i w:val="0"/>
                <w:iCs w:val="0"/>
                <w:color w:val="000000"/>
                <w:sz w:val="24"/>
                <w:szCs w:val="24"/>
                <w:highlight w:val="none"/>
                <w:u w:val="none"/>
              </w:rPr>
            </w:pPr>
          </w:p>
        </w:tc>
        <w:tc>
          <w:tcPr>
            <w:tcW w:w="641" w:type="dxa"/>
            <w:tcBorders>
              <w:top w:val="single" w:color="000000" w:sz="4" w:space="0"/>
              <w:left w:val="single" w:color="000000" w:sz="4" w:space="0"/>
              <w:bottom w:val="single" w:color="000000" w:sz="4" w:space="0"/>
              <w:right w:val="single" w:color="000000" w:sz="4" w:space="0"/>
            </w:tcBorders>
            <w:vAlign w:val="center"/>
          </w:tcPr>
          <w:p w14:paraId="03E5D189">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承包内容</w:t>
            </w:r>
          </w:p>
        </w:tc>
        <w:tc>
          <w:tcPr>
            <w:tcW w:w="1120" w:type="dxa"/>
            <w:tcBorders>
              <w:top w:val="single" w:color="000000" w:sz="4" w:space="0"/>
              <w:left w:val="single" w:color="000000" w:sz="4" w:space="0"/>
              <w:bottom w:val="single" w:color="000000" w:sz="4" w:space="0"/>
              <w:right w:val="single" w:color="000000" w:sz="4" w:space="0"/>
            </w:tcBorders>
            <w:vAlign w:val="center"/>
          </w:tcPr>
          <w:p w14:paraId="54DC6C8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单项合同额（万元）</w:t>
            </w:r>
          </w:p>
        </w:tc>
        <w:tc>
          <w:tcPr>
            <w:tcW w:w="760" w:type="dxa"/>
            <w:tcBorders>
              <w:top w:val="single" w:color="000000" w:sz="4" w:space="0"/>
              <w:left w:val="single" w:color="000000" w:sz="4" w:space="0"/>
              <w:bottom w:val="single" w:color="000000" w:sz="4" w:space="0"/>
              <w:right w:val="single" w:color="000000" w:sz="4" w:space="0"/>
            </w:tcBorders>
            <w:vAlign w:val="center"/>
          </w:tcPr>
          <w:p w14:paraId="23F7EE8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合同工程开工</w:t>
            </w:r>
          </w:p>
        </w:tc>
        <w:tc>
          <w:tcPr>
            <w:tcW w:w="760" w:type="dxa"/>
            <w:tcBorders>
              <w:top w:val="single" w:color="000000" w:sz="4" w:space="0"/>
              <w:left w:val="single" w:color="000000" w:sz="4" w:space="0"/>
              <w:bottom w:val="single" w:color="000000" w:sz="4" w:space="0"/>
              <w:right w:val="single" w:color="000000" w:sz="4" w:space="0"/>
            </w:tcBorders>
            <w:vAlign w:val="center"/>
          </w:tcPr>
          <w:p w14:paraId="305C4EA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合同工程完工</w:t>
            </w:r>
          </w:p>
        </w:tc>
        <w:tc>
          <w:tcPr>
            <w:tcW w:w="879" w:type="dxa"/>
            <w:tcBorders>
              <w:top w:val="single" w:color="000000" w:sz="4" w:space="0"/>
              <w:left w:val="single" w:color="000000" w:sz="4" w:space="0"/>
              <w:bottom w:val="single" w:color="000000" w:sz="4" w:space="0"/>
              <w:right w:val="single" w:color="000000" w:sz="4" w:space="0"/>
            </w:tcBorders>
            <w:vAlign w:val="center"/>
          </w:tcPr>
          <w:p w14:paraId="5F5E5AB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合同工程完工验收</w:t>
            </w:r>
          </w:p>
        </w:tc>
        <w:tc>
          <w:tcPr>
            <w:tcW w:w="650" w:type="dxa"/>
            <w:tcBorders>
              <w:top w:val="single" w:color="000000" w:sz="4" w:space="0"/>
              <w:left w:val="single" w:color="000000" w:sz="4" w:space="0"/>
              <w:bottom w:val="single" w:color="000000" w:sz="4" w:space="0"/>
              <w:right w:val="single" w:color="000000" w:sz="4" w:space="0"/>
            </w:tcBorders>
            <w:vAlign w:val="center"/>
          </w:tcPr>
          <w:p w14:paraId="76DAC420">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竣工验收</w:t>
            </w:r>
          </w:p>
        </w:tc>
      </w:tr>
      <w:tr w14:paraId="719BB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30" w:hRule="atLeast"/>
          <w:jc w:val="center"/>
        </w:trPr>
        <w:tc>
          <w:tcPr>
            <w:tcW w:w="516" w:type="dxa"/>
            <w:tcBorders>
              <w:top w:val="single" w:color="000000" w:sz="4" w:space="0"/>
              <w:left w:val="single" w:color="000000" w:sz="4" w:space="0"/>
              <w:bottom w:val="single" w:color="000000" w:sz="4" w:space="0"/>
              <w:right w:val="single" w:color="000000" w:sz="4" w:space="0"/>
            </w:tcBorders>
            <w:vAlign w:val="center"/>
          </w:tcPr>
          <w:p w14:paraId="7B5A4AC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1</w:t>
            </w:r>
          </w:p>
        </w:tc>
        <w:tc>
          <w:tcPr>
            <w:tcW w:w="2866" w:type="dxa"/>
            <w:tcBorders>
              <w:top w:val="single" w:color="000000" w:sz="4" w:space="0"/>
              <w:left w:val="single" w:color="000000" w:sz="4" w:space="0"/>
              <w:bottom w:val="single" w:color="000000" w:sz="4" w:space="0"/>
              <w:right w:val="single" w:color="000000" w:sz="4" w:space="0"/>
            </w:tcBorders>
            <w:vAlign w:val="center"/>
          </w:tcPr>
          <w:p w14:paraId="618B8E76">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p>
        </w:tc>
        <w:tc>
          <w:tcPr>
            <w:tcW w:w="575" w:type="dxa"/>
            <w:tcBorders>
              <w:top w:val="nil"/>
              <w:left w:val="single" w:color="000000" w:sz="4" w:space="0"/>
              <w:bottom w:val="single" w:color="000000" w:sz="4" w:space="0"/>
              <w:right w:val="single" w:color="000000" w:sz="4" w:space="0"/>
            </w:tcBorders>
            <w:vAlign w:val="center"/>
          </w:tcPr>
          <w:p w14:paraId="0EFC0A98">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highlight w:val="none"/>
                <w:u w:val="none"/>
              </w:rPr>
            </w:pPr>
          </w:p>
        </w:tc>
        <w:tc>
          <w:tcPr>
            <w:tcW w:w="935" w:type="dxa"/>
            <w:tcBorders>
              <w:top w:val="single" w:color="000000" w:sz="4" w:space="0"/>
              <w:left w:val="single" w:color="000000" w:sz="4" w:space="0"/>
              <w:bottom w:val="single" w:color="000000" w:sz="4" w:space="0"/>
              <w:right w:val="single" w:color="000000" w:sz="4" w:space="0"/>
            </w:tcBorders>
            <w:vAlign w:val="center"/>
          </w:tcPr>
          <w:p w14:paraId="2E9CF5AA">
            <w:pPr>
              <w:snapToGrid w:val="0"/>
              <w:jc w:val="center"/>
              <w:rPr>
                <w:rFonts w:hint="eastAsia" w:ascii="宋体" w:hAnsi="宋体" w:eastAsia="宋体" w:cs="宋体"/>
                <w:i w:val="0"/>
                <w:iCs w:val="0"/>
                <w:color w:val="000000"/>
                <w:sz w:val="24"/>
                <w:szCs w:val="24"/>
                <w:highlight w:val="none"/>
                <w:u w:val="none"/>
              </w:rPr>
            </w:pPr>
          </w:p>
        </w:tc>
        <w:tc>
          <w:tcPr>
            <w:tcW w:w="1724" w:type="dxa"/>
            <w:tcBorders>
              <w:top w:val="single" w:color="000000" w:sz="4" w:space="0"/>
              <w:left w:val="single" w:color="000000" w:sz="4" w:space="0"/>
              <w:bottom w:val="single" w:color="000000" w:sz="4" w:space="0"/>
              <w:right w:val="single" w:color="000000" w:sz="4" w:space="0"/>
            </w:tcBorders>
            <w:vAlign w:val="center"/>
          </w:tcPr>
          <w:p w14:paraId="6678331D">
            <w:pPr>
              <w:snapToGrid w:val="0"/>
              <w:jc w:val="center"/>
              <w:rPr>
                <w:rFonts w:hint="eastAsia" w:ascii="宋体" w:hAnsi="宋体" w:eastAsia="宋体" w:cs="宋体"/>
                <w:i w:val="0"/>
                <w:iCs w:val="0"/>
                <w:color w:val="000000"/>
                <w:sz w:val="24"/>
                <w:szCs w:val="24"/>
                <w:highlight w:val="none"/>
                <w:u w:val="none"/>
              </w:rPr>
            </w:pPr>
          </w:p>
        </w:tc>
        <w:tc>
          <w:tcPr>
            <w:tcW w:w="575" w:type="dxa"/>
            <w:tcBorders>
              <w:top w:val="single" w:color="000000" w:sz="4" w:space="0"/>
              <w:left w:val="single" w:color="000000" w:sz="4" w:space="0"/>
              <w:bottom w:val="single" w:color="000000" w:sz="4" w:space="0"/>
              <w:right w:val="single" w:color="000000" w:sz="4" w:space="0"/>
            </w:tcBorders>
            <w:vAlign w:val="center"/>
          </w:tcPr>
          <w:p w14:paraId="39DA0EF8">
            <w:pPr>
              <w:snapToGrid w:val="0"/>
              <w:jc w:val="center"/>
              <w:rPr>
                <w:rFonts w:hint="eastAsia" w:ascii="宋体" w:hAnsi="宋体" w:eastAsia="宋体" w:cs="宋体"/>
                <w:i w:val="0"/>
                <w:iCs w:val="0"/>
                <w:color w:val="000000"/>
                <w:sz w:val="24"/>
                <w:szCs w:val="24"/>
                <w:highlight w:val="none"/>
                <w:u w:val="none"/>
              </w:rPr>
            </w:pPr>
          </w:p>
        </w:tc>
        <w:tc>
          <w:tcPr>
            <w:tcW w:w="575" w:type="dxa"/>
            <w:tcBorders>
              <w:top w:val="single" w:color="000000" w:sz="4" w:space="0"/>
              <w:left w:val="single" w:color="000000" w:sz="4" w:space="0"/>
              <w:bottom w:val="single" w:color="000000" w:sz="4" w:space="0"/>
              <w:right w:val="single" w:color="000000" w:sz="4" w:space="0"/>
            </w:tcBorders>
            <w:vAlign w:val="center"/>
          </w:tcPr>
          <w:p w14:paraId="29563B42">
            <w:pPr>
              <w:snapToGrid w:val="0"/>
              <w:jc w:val="center"/>
              <w:rPr>
                <w:rFonts w:hint="eastAsia" w:ascii="宋体" w:hAnsi="宋体" w:eastAsia="宋体" w:cs="宋体"/>
                <w:i w:val="0"/>
                <w:iCs w:val="0"/>
                <w:color w:val="000000"/>
                <w:sz w:val="24"/>
                <w:szCs w:val="24"/>
                <w:highlight w:val="none"/>
                <w:u w:val="none"/>
              </w:rPr>
            </w:pPr>
          </w:p>
        </w:tc>
        <w:tc>
          <w:tcPr>
            <w:tcW w:w="816" w:type="dxa"/>
            <w:tcBorders>
              <w:top w:val="single" w:color="000000" w:sz="4" w:space="0"/>
              <w:left w:val="single" w:color="000000" w:sz="4" w:space="0"/>
              <w:bottom w:val="single" w:color="000000" w:sz="4" w:space="0"/>
              <w:right w:val="single" w:color="000000" w:sz="4" w:space="0"/>
            </w:tcBorders>
            <w:vAlign w:val="center"/>
          </w:tcPr>
          <w:p w14:paraId="741E4B11">
            <w:pPr>
              <w:snapToGrid w:val="0"/>
              <w:jc w:val="center"/>
              <w:rPr>
                <w:rFonts w:hint="eastAsia" w:ascii="宋体" w:hAnsi="宋体" w:eastAsia="宋体" w:cs="宋体"/>
                <w:i w:val="0"/>
                <w:iCs w:val="0"/>
                <w:color w:val="000000"/>
                <w:sz w:val="24"/>
                <w:szCs w:val="24"/>
                <w:highlight w:val="none"/>
                <w:u w:val="none"/>
              </w:rPr>
            </w:pPr>
          </w:p>
        </w:tc>
        <w:tc>
          <w:tcPr>
            <w:tcW w:w="782" w:type="dxa"/>
            <w:tcBorders>
              <w:top w:val="single" w:color="000000" w:sz="4" w:space="0"/>
              <w:left w:val="single" w:color="000000" w:sz="4" w:space="0"/>
              <w:bottom w:val="single" w:color="000000" w:sz="4" w:space="0"/>
              <w:right w:val="single" w:color="000000" w:sz="4" w:space="0"/>
            </w:tcBorders>
            <w:vAlign w:val="center"/>
          </w:tcPr>
          <w:p w14:paraId="61A6EF89">
            <w:pPr>
              <w:snapToGrid w:val="0"/>
              <w:jc w:val="center"/>
              <w:rPr>
                <w:rFonts w:hint="eastAsia" w:ascii="宋体" w:hAnsi="宋体" w:eastAsia="宋体" w:cs="宋体"/>
                <w:i w:val="0"/>
                <w:iCs w:val="0"/>
                <w:color w:val="000000"/>
                <w:sz w:val="24"/>
                <w:szCs w:val="24"/>
                <w:highlight w:val="none"/>
                <w:u w:val="none"/>
              </w:rPr>
            </w:pPr>
          </w:p>
        </w:tc>
        <w:tc>
          <w:tcPr>
            <w:tcW w:w="641" w:type="dxa"/>
            <w:tcBorders>
              <w:top w:val="single" w:color="000000" w:sz="4" w:space="0"/>
              <w:left w:val="single" w:color="000000" w:sz="4" w:space="0"/>
              <w:bottom w:val="single" w:color="000000" w:sz="4" w:space="0"/>
              <w:right w:val="single" w:color="000000" w:sz="4" w:space="0"/>
            </w:tcBorders>
            <w:vAlign w:val="center"/>
          </w:tcPr>
          <w:p w14:paraId="0DEE1396">
            <w:pPr>
              <w:snapToGrid w:val="0"/>
              <w:jc w:val="center"/>
              <w:rPr>
                <w:rFonts w:hint="eastAsia" w:ascii="宋体" w:hAnsi="宋体" w:eastAsia="宋体" w:cs="宋体"/>
                <w:i w:val="0"/>
                <w:iCs w:val="0"/>
                <w:color w:val="000000"/>
                <w:sz w:val="24"/>
                <w:szCs w:val="24"/>
                <w:highlight w:val="none"/>
                <w:u w:val="none"/>
              </w:rPr>
            </w:pPr>
          </w:p>
        </w:tc>
        <w:tc>
          <w:tcPr>
            <w:tcW w:w="1120" w:type="dxa"/>
            <w:tcBorders>
              <w:top w:val="single" w:color="000000" w:sz="4" w:space="0"/>
              <w:left w:val="single" w:color="000000" w:sz="4" w:space="0"/>
              <w:bottom w:val="single" w:color="000000" w:sz="4" w:space="0"/>
              <w:right w:val="single" w:color="000000" w:sz="4" w:space="0"/>
            </w:tcBorders>
            <w:vAlign w:val="center"/>
          </w:tcPr>
          <w:p w14:paraId="6F208E46">
            <w:pPr>
              <w:snapToGrid w:val="0"/>
              <w:jc w:val="center"/>
              <w:rPr>
                <w:rFonts w:hint="eastAsia" w:ascii="宋体" w:hAnsi="宋体" w:eastAsia="宋体" w:cs="宋体"/>
                <w:i w:val="0"/>
                <w:iCs w:val="0"/>
                <w:color w:val="000000"/>
                <w:sz w:val="24"/>
                <w:szCs w:val="24"/>
                <w:highlight w:val="none"/>
                <w:u w:val="none"/>
              </w:rPr>
            </w:pPr>
          </w:p>
        </w:tc>
        <w:tc>
          <w:tcPr>
            <w:tcW w:w="760" w:type="dxa"/>
            <w:tcBorders>
              <w:top w:val="single" w:color="000000" w:sz="4" w:space="0"/>
              <w:left w:val="single" w:color="000000" w:sz="4" w:space="0"/>
              <w:bottom w:val="single" w:color="000000" w:sz="4" w:space="0"/>
              <w:right w:val="single" w:color="000000" w:sz="4" w:space="0"/>
            </w:tcBorders>
            <w:vAlign w:val="center"/>
          </w:tcPr>
          <w:p w14:paraId="0FF5DB16">
            <w:pPr>
              <w:snapToGrid w:val="0"/>
              <w:jc w:val="center"/>
              <w:rPr>
                <w:rFonts w:hint="eastAsia" w:ascii="宋体" w:hAnsi="宋体" w:eastAsia="宋体" w:cs="宋体"/>
                <w:i w:val="0"/>
                <w:iCs w:val="0"/>
                <w:color w:val="000000"/>
                <w:sz w:val="24"/>
                <w:szCs w:val="24"/>
                <w:highlight w:val="none"/>
                <w:u w:val="none"/>
              </w:rPr>
            </w:pPr>
          </w:p>
        </w:tc>
        <w:tc>
          <w:tcPr>
            <w:tcW w:w="760" w:type="dxa"/>
            <w:tcBorders>
              <w:top w:val="single" w:color="000000" w:sz="4" w:space="0"/>
              <w:left w:val="single" w:color="000000" w:sz="4" w:space="0"/>
              <w:bottom w:val="single" w:color="000000" w:sz="4" w:space="0"/>
              <w:right w:val="single" w:color="000000" w:sz="4" w:space="0"/>
            </w:tcBorders>
            <w:vAlign w:val="center"/>
          </w:tcPr>
          <w:p w14:paraId="0EF37CAF">
            <w:pPr>
              <w:snapToGrid w:val="0"/>
              <w:jc w:val="center"/>
              <w:rPr>
                <w:rFonts w:hint="eastAsia" w:ascii="宋体" w:hAnsi="宋体" w:eastAsia="宋体" w:cs="宋体"/>
                <w:i w:val="0"/>
                <w:iCs w:val="0"/>
                <w:color w:val="000000"/>
                <w:sz w:val="24"/>
                <w:szCs w:val="24"/>
                <w:highlight w:val="none"/>
                <w:u w:val="none"/>
              </w:rPr>
            </w:pPr>
          </w:p>
        </w:tc>
        <w:tc>
          <w:tcPr>
            <w:tcW w:w="879" w:type="dxa"/>
            <w:tcBorders>
              <w:top w:val="single" w:color="000000" w:sz="4" w:space="0"/>
              <w:left w:val="single" w:color="000000" w:sz="4" w:space="0"/>
              <w:bottom w:val="single" w:color="000000" w:sz="4" w:space="0"/>
              <w:right w:val="single" w:color="000000" w:sz="4" w:space="0"/>
            </w:tcBorders>
            <w:vAlign w:val="center"/>
          </w:tcPr>
          <w:p w14:paraId="1BA903EC">
            <w:pPr>
              <w:snapToGrid w:val="0"/>
              <w:jc w:val="center"/>
              <w:rPr>
                <w:rFonts w:hint="eastAsia" w:ascii="宋体" w:hAnsi="宋体" w:eastAsia="宋体" w:cs="宋体"/>
                <w:i w:val="0"/>
                <w:iCs w:val="0"/>
                <w:color w:val="000000"/>
                <w:sz w:val="24"/>
                <w:szCs w:val="24"/>
                <w:highlight w:val="none"/>
                <w:u w:val="none"/>
              </w:rPr>
            </w:pPr>
          </w:p>
        </w:tc>
        <w:tc>
          <w:tcPr>
            <w:tcW w:w="650" w:type="dxa"/>
            <w:tcBorders>
              <w:top w:val="single" w:color="000000" w:sz="4" w:space="0"/>
              <w:left w:val="single" w:color="000000" w:sz="4" w:space="0"/>
              <w:bottom w:val="single" w:color="000000" w:sz="4" w:space="0"/>
              <w:right w:val="single" w:color="000000" w:sz="4" w:space="0"/>
            </w:tcBorders>
            <w:vAlign w:val="center"/>
          </w:tcPr>
          <w:p w14:paraId="659DEABD">
            <w:pPr>
              <w:snapToGrid w:val="0"/>
              <w:jc w:val="center"/>
              <w:rPr>
                <w:rFonts w:hint="eastAsia" w:ascii="宋体" w:hAnsi="宋体" w:eastAsia="宋体" w:cs="宋体"/>
                <w:i w:val="0"/>
                <w:iCs w:val="0"/>
                <w:color w:val="000000"/>
                <w:sz w:val="24"/>
                <w:szCs w:val="24"/>
                <w:highlight w:val="none"/>
                <w:u w:val="none"/>
              </w:rPr>
            </w:pPr>
          </w:p>
        </w:tc>
      </w:tr>
      <w:tr w14:paraId="0476B7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4174" w:type="dxa"/>
            <w:gridSpan w:val="15"/>
            <w:tcBorders>
              <w:top w:val="single" w:color="000000" w:sz="4" w:space="0"/>
              <w:left w:val="single" w:color="000000" w:sz="4" w:space="0"/>
              <w:bottom w:val="single" w:color="000000" w:sz="4" w:space="0"/>
              <w:right w:val="single" w:color="000000" w:sz="4" w:space="0"/>
            </w:tcBorders>
            <w:vAlign w:val="center"/>
          </w:tcPr>
          <w:p w14:paraId="28D66194">
            <w:pPr>
              <w:keepNext w:val="0"/>
              <w:keepLines w:val="0"/>
              <w:widowControl/>
              <w:suppressLineNumbers w:val="0"/>
              <w:snapToGrid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需要说明的问题：</w:t>
            </w:r>
          </w:p>
        </w:tc>
      </w:tr>
      <w:tr w14:paraId="13067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0005" w:type="dxa"/>
            <w:gridSpan w:val="10"/>
            <w:tcBorders>
              <w:top w:val="nil"/>
              <w:left w:val="nil"/>
              <w:bottom w:val="nil"/>
              <w:right w:val="nil"/>
            </w:tcBorders>
            <w:vAlign w:val="center"/>
          </w:tcPr>
          <w:p w14:paraId="02979AE4">
            <w:pPr>
              <w:keepNext w:val="0"/>
              <w:keepLines w:val="0"/>
              <w:widowControl/>
              <w:suppressLineNumbers w:val="0"/>
              <w:snapToGrid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经办人签字：</w:t>
            </w:r>
          </w:p>
        </w:tc>
        <w:tc>
          <w:tcPr>
            <w:tcW w:w="4169" w:type="dxa"/>
            <w:gridSpan w:val="5"/>
            <w:tcBorders>
              <w:top w:val="nil"/>
              <w:left w:val="nil"/>
              <w:bottom w:val="nil"/>
              <w:right w:val="nil"/>
            </w:tcBorders>
            <w:vAlign w:val="center"/>
          </w:tcPr>
          <w:p w14:paraId="18591585">
            <w:pPr>
              <w:keepNext w:val="0"/>
              <w:keepLines w:val="0"/>
              <w:widowControl/>
              <w:suppressLineNumbers w:val="0"/>
              <w:snapToGrid w:val="0"/>
              <w:jc w:val="left"/>
              <w:textAlignment w:val="center"/>
              <w:rPr>
                <w:rFonts w:hint="eastAsia" w:ascii="宋体" w:hAnsi="宋体" w:eastAsia="宋体" w:cs="宋体"/>
                <w:i w:val="0"/>
                <w:iCs w:val="0"/>
                <w:color w:val="000000"/>
                <w:sz w:val="24"/>
                <w:szCs w:val="24"/>
                <w:highlight w:val="none"/>
                <w:u w:val="none"/>
              </w:rPr>
            </w:pPr>
            <w:r>
              <w:rPr>
                <w:rFonts w:hint="eastAsia" w:ascii="宋体" w:hAnsi="宋体" w:eastAsia="宋体" w:cs="宋体"/>
                <w:i w:val="0"/>
                <w:iCs w:val="0"/>
                <w:color w:val="000000"/>
                <w:kern w:val="0"/>
                <w:sz w:val="24"/>
                <w:szCs w:val="24"/>
                <w:highlight w:val="none"/>
                <w:u w:val="none"/>
                <w:lang w:val="en-US" w:eastAsia="zh-CN" w:bidi="ar"/>
              </w:rPr>
              <w:t>单位负责人签字：</w:t>
            </w:r>
          </w:p>
        </w:tc>
      </w:tr>
    </w:tbl>
    <w:p w14:paraId="5FB06CB6">
      <w:pPr>
        <w:rPr>
          <w:rFonts w:hint="eastAsia"/>
          <w:highlight w:val="none"/>
          <w:lang w:val="en-US" w:eastAsia="zh-CN"/>
        </w:rPr>
        <w:sectPr>
          <w:pgSz w:w="16838" w:h="11906" w:orient="landscape"/>
          <w:pgMar w:top="1800" w:right="1440" w:bottom="1800" w:left="1440" w:header="851" w:footer="992" w:gutter="0"/>
          <w:pgNumType w:fmt="numberInDash"/>
          <w:cols w:space="720" w:num="1"/>
          <w:docGrid w:type="lines" w:linePitch="312" w:charSpace="0"/>
        </w:sectPr>
      </w:pPr>
    </w:p>
    <w:p w14:paraId="039BF4B7">
      <w:pPr>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附件2-5</w:t>
      </w:r>
    </w:p>
    <w:p w14:paraId="33AC3397">
      <w:pPr>
        <w:rPr>
          <w:rFonts w:hint="eastAsia" w:ascii="黑体" w:hAnsi="黑体" w:eastAsia="黑体" w:cs="黑体"/>
          <w:sz w:val="32"/>
          <w:szCs w:val="32"/>
          <w:highlight w:val="none"/>
          <w:lang w:val="en-US" w:eastAsia="zh-CN"/>
        </w:rPr>
      </w:pPr>
    </w:p>
    <w:p w14:paraId="0AF36EE6">
      <w:pPr>
        <w:keepNext w:val="0"/>
        <w:keepLines w:val="0"/>
        <w:pageBreakBefore w:val="0"/>
        <w:widowControl w:val="0"/>
        <w:numPr>
          <w:ilvl w:val="0"/>
          <w:numId w:val="0"/>
        </w:numPr>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辽宁省水利厅关于XXX公司等XX家企业申报水利施工二级资质材料</w:t>
      </w:r>
    </w:p>
    <w:p w14:paraId="5D7AF82E">
      <w:pPr>
        <w:keepNext w:val="0"/>
        <w:keepLines w:val="0"/>
        <w:pageBreakBefore w:val="0"/>
        <w:widowControl w:val="0"/>
        <w:numPr>
          <w:ilvl w:val="0"/>
          <w:numId w:val="0"/>
        </w:numPr>
        <w:kinsoku/>
        <w:wordWrap/>
        <w:overflowPunct/>
        <w:topLinePunct w:val="0"/>
        <w:autoSpaceDE/>
        <w:autoSpaceDN/>
        <w:bidi w:val="0"/>
        <w:adjustRightInd/>
        <w:spacing w:line="560" w:lineRule="exact"/>
        <w:jc w:val="center"/>
        <w:textAlignment w:val="auto"/>
        <w:rPr>
          <w:rFonts w:hint="default"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行业审查意见的函</w:t>
      </w:r>
    </w:p>
    <w:p w14:paraId="62AADBC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hint="eastAsia" w:ascii="方正小标宋简体" w:hAnsi="方正小标宋简体" w:eastAsia="方正小标宋简体" w:cs="方正小标宋简体"/>
          <w:kern w:val="2"/>
          <w:sz w:val="44"/>
          <w:szCs w:val="44"/>
          <w:highlight w:val="none"/>
          <w:lang w:val="en-US" w:eastAsia="zh-CN" w:bidi="ar-SA"/>
        </w:rPr>
      </w:pPr>
    </w:p>
    <w:p w14:paraId="0CEE21F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辽宁省住房和城乡建设厅</w:t>
      </w:r>
      <w:r>
        <w:rPr>
          <w:rFonts w:hint="eastAsia" w:ascii="仿宋_GB2312" w:hAnsi="仿宋_GB2312" w:eastAsia="仿宋_GB2312" w:cs="仿宋_GB2312"/>
          <w:sz w:val="32"/>
          <w:szCs w:val="32"/>
          <w:highlight w:val="none"/>
          <w:lang w:eastAsia="zh-CN"/>
        </w:rPr>
        <w:t>：</w:t>
      </w:r>
    </w:p>
    <w:p w14:paraId="026FA28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XX</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XX</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XX月XX</w:t>
      </w:r>
      <w:r>
        <w:rPr>
          <w:rFonts w:hint="eastAsia" w:ascii="仿宋_GB2312" w:hAnsi="仿宋_GB2312" w:eastAsia="仿宋_GB2312" w:cs="仿宋_GB2312"/>
          <w:sz w:val="32"/>
          <w:szCs w:val="32"/>
          <w:highlight w:val="none"/>
        </w:rPr>
        <w:t>日，我厅组织专家对你厅转来的</w:t>
      </w:r>
      <w:r>
        <w:rPr>
          <w:rFonts w:hint="eastAsia" w:ascii="仿宋_GB2312" w:hAnsi="仿宋_GB2312" w:eastAsia="仿宋_GB2312" w:cs="仿宋_GB2312"/>
          <w:sz w:val="32"/>
          <w:szCs w:val="32"/>
          <w:highlight w:val="none"/>
          <w:lang w:val="en-US" w:eastAsia="zh-CN"/>
        </w:rPr>
        <w:t>XXXX</w:t>
      </w:r>
      <w:r>
        <w:rPr>
          <w:rFonts w:hint="eastAsia" w:ascii="仿宋_GB2312" w:hAnsi="仿宋_GB2312" w:eastAsia="仿宋_GB2312" w:cs="仿宋_GB2312"/>
          <w:sz w:val="32"/>
          <w:szCs w:val="32"/>
          <w:highlight w:val="none"/>
          <w:lang w:eastAsia="zh-CN"/>
        </w:rPr>
        <w:t>公司</w:t>
      </w:r>
      <w:r>
        <w:rPr>
          <w:rFonts w:hint="eastAsia" w:ascii="仿宋_GB2312" w:hAnsi="仿宋_GB2312" w:eastAsia="仿宋_GB2312" w:cs="仿宋_GB2312"/>
          <w:sz w:val="32"/>
          <w:szCs w:val="32"/>
          <w:highlight w:val="none"/>
        </w:rPr>
        <w:t>等</w:t>
      </w:r>
      <w:r>
        <w:rPr>
          <w:rFonts w:hint="eastAsia" w:ascii="仿宋_GB2312" w:hAnsi="仿宋_GB2312" w:eastAsia="仿宋_GB2312" w:cs="仿宋_GB2312"/>
          <w:sz w:val="32"/>
          <w:szCs w:val="32"/>
          <w:highlight w:val="none"/>
          <w:lang w:val="en-US" w:eastAsia="zh-CN"/>
        </w:rPr>
        <w:t>XX</w:t>
      </w:r>
      <w:r>
        <w:rPr>
          <w:rFonts w:hint="eastAsia" w:ascii="仿宋_GB2312" w:hAnsi="仿宋_GB2312" w:eastAsia="仿宋_GB2312" w:cs="仿宋_GB2312"/>
          <w:sz w:val="32"/>
          <w:szCs w:val="32"/>
          <w:highlight w:val="none"/>
        </w:rPr>
        <w:t>项水利水电工程施工资质申请材料进行了</w:t>
      </w:r>
      <w:r>
        <w:rPr>
          <w:rFonts w:hint="eastAsia" w:ascii="仿宋_GB2312" w:hAnsi="仿宋_GB2312" w:eastAsia="仿宋_GB2312" w:cs="仿宋_GB2312"/>
          <w:sz w:val="32"/>
          <w:szCs w:val="32"/>
          <w:highlight w:val="none"/>
          <w:lang w:val="en-US" w:eastAsia="zh-CN"/>
        </w:rPr>
        <w:t>行业</w:t>
      </w:r>
      <w:r>
        <w:rPr>
          <w:rFonts w:hint="eastAsia" w:ascii="仿宋_GB2312" w:hAnsi="仿宋_GB2312" w:eastAsia="仿宋_GB2312" w:cs="仿宋_GB2312"/>
          <w:sz w:val="32"/>
          <w:szCs w:val="32"/>
          <w:highlight w:val="none"/>
        </w:rPr>
        <w:t>审查。结合辽宁省一体化在线政务服务平台社保校核功能，形成如下</w:t>
      </w:r>
      <w:r>
        <w:rPr>
          <w:rFonts w:hint="eastAsia" w:ascii="仿宋_GB2312" w:hAnsi="仿宋_GB2312" w:eastAsia="仿宋_GB2312" w:cs="仿宋_GB2312"/>
          <w:sz w:val="32"/>
          <w:szCs w:val="32"/>
          <w:highlight w:val="none"/>
          <w:lang w:val="en-US" w:eastAsia="zh-CN"/>
        </w:rPr>
        <w:t>行业</w:t>
      </w:r>
      <w:r>
        <w:rPr>
          <w:rFonts w:hint="eastAsia" w:ascii="仿宋_GB2312" w:hAnsi="仿宋_GB2312" w:eastAsia="仿宋_GB2312" w:cs="仿宋_GB2312"/>
          <w:sz w:val="32"/>
          <w:szCs w:val="32"/>
          <w:highlight w:val="none"/>
        </w:rPr>
        <w:t>审查意见</w:t>
      </w:r>
      <w:r>
        <w:rPr>
          <w:rFonts w:hint="eastAsia" w:ascii="仿宋_GB2312" w:hAnsi="仿宋_GB2312" w:eastAsia="仿宋_GB2312" w:cs="仿宋_GB2312"/>
          <w:sz w:val="32"/>
          <w:szCs w:val="32"/>
          <w:highlight w:val="none"/>
          <w:lang w:eastAsia="zh-CN"/>
        </w:rPr>
        <w:t>：</w:t>
      </w:r>
      <w:bookmarkStart w:id="3" w:name="OLE_LINK1"/>
      <w:r>
        <w:rPr>
          <w:rFonts w:hint="eastAsia" w:ascii="仿宋_GB2312" w:hAnsi="仿宋_GB2312" w:eastAsia="仿宋_GB2312" w:cs="仿宋_GB2312"/>
          <w:sz w:val="32"/>
          <w:szCs w:val="32"/>
          <w:highlight w:val="none"/>
          <w:lang w:val="en-US" w:eastAsia="zh-CN"/>
        </w:rPr>
        <w:t>XXXX</w:t>
      </w:r>
      <w:r>
        <w:rPr>
          <w:rFonts w:hint="eastAsia" w:ascii="仿宋_GB2312" w:hAnsi="仿宋_GB2312" w:eastAsia="仿宋_GB2312" w:cs="仿宋_GB2312"/>
          <w:sz w:val="32"/>
          <w:szCs w:val="32"/>
          <w:highlight w:val="none"/>
          <w:lang w:eastAsia="zh-CN"/>
        </w:rPr>
        <w:t>公司等</w:t>
      </w:r>
      <w:r>
        <w:rPr>
          <w:rFonts w:hint="eastAsia" w:ascii="仿宋_GB2312" w:hAnsi="仿宋_GB2312" w:eastAsia="仿宋_GB2312" w:cs="仿宋_GB2312"/>
          <w:sz w:val="32"/>
          <w:szCs w:val="32"/>
          <w:highlight w:val="none"/>
          <w:lang w:val="en-US" w:eastAsia="zh-CN"/>
        </w:rPr>
        <w:t>XX家企业</w:t>
      </w:r>
      <w:r>
        <w:rPr>
          <w:rFonts w:hint="eastAsia" w:ascii="仿宋_GB2312" w:hAnsi="仿宋_GB2312" w:eastAsia="仿宋_GB2312" w:cs="仿宋_GB2312"/>
          <w:sz w:val="32"/>
          <w:szCs w:val="32"/>
          <w:highlight w:val="none"/>
        </w:rPr>
        <w:t>申报材料</w:t>
      </w:r>
      <w:bookmarkEnd w:id="3"/>
      <w:r>
        <w:rPr>
          <w:rFonts w:hint="eastAsia" w:ascii="仿宋_GB2312" w:hAnsi="仿宋_GB2312" w:eastAsia="仿宋_GB2312" w:cs="仿宋_GB2312"/>
          <w:sz w:val="32"/>
          <w:szCs w:val="32"/>
          <w:highlight w:val="none"/>
        </w:rPr>
        <w:t>符合资质要求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XXXX</w:t>
      </w:r>
      <w:r>
        <w:rPr>
          <w:rFonts w:hint="eastAsia" w:ascii="仿宋_GB2312" w:hAnsi="仿宋_GB2312" w:eastAsia="仿宋_GB2312" w:cs="仿宋_GB2312"/>
          <w:sz w:val="32"/>
          <w:szCs w:val="32"/>
          <w:highlight w:val="none"/>
          <w:lang w:eastAsia="zh-CN"/>
        </w:rPr>
        <w:t>公司</w:t>
      </w:r>
      <w:r>
        <w:rPr>
          <w:rFonts w:hint="eastAsia" w:ascii="仿宋_GB2312" w:hAnsi="仿宋_GB2312" w:eastAsia="仿宋_GB2312" w:cs="仿宋_GB2312"/>
          <w:sz w:val="32"/>
          <w:szCs w:val="32"/>
          <w:highlight w:val="none"/>
          <w:lang w:val="en-US" w:eastAsia="zh-CN"/>
        </w:rPr>
        <w:t>等XX家企业</w:t>
      </w:r>
      <w:r>
        <w:rPr>
          <w:rFonts w:hint="eastAsia" w:ascii="仿宋_GB2312" w:hAnsi="仿宋_GB2312" w:eastAsia="仿宋_GB2312" w:cs="仿宋_GB2312"/>
          <w:sz w:val="32"/>
          <w:szCs w:val="32"/>
          <w:highlight w:val="none"/>
        </w:rPr>
        <w:t>申报材料</w:t>
      </w:r>
      <w:r>
        <w:rPr>
          <w:rFonts w:hint="eastAsia" w:ascii="仿宋_GB2312" w:hAnsi="仿宋_GB2312" w:eastAsia="仿宋_GB2312" w:cs="仿宋_GB2312"/>
          <w:sz w:val="32"/>
          <w:szCs w:val="32"/>
          <w:highlight w:val="none"/>
          <w:lang w:val="en-US" w:eastAsia="zh-CN"/>
        </w:rPr>
        <w:t>不</w:t>
      </w:r>
      <w:r>
        <w:rPr>
          <w:rFonts w:hint="eastAsia" w:ascii="仿宋_GB2312" w:hAnsi="仿宋_GB2312" w:eastAsia="仿宋_GB2312" w:cs="仿宋_GB2312"/>
          <w:sz w:val="32"/>
          <w:szCs w:val="32"/>
          <w:highlight w:val="none"/>
        </w:rPr>
        <w:t>符合资质要求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具体审查意见详见附件</w:t>
      </w:r>
      <w:r>
        <w:rPr>
          <w:rFonts w:hint="eastAsia" w:ascii="仿宋_GB2312" w:hAnsi="仿宋_GB2312" w:eastAsia="仿宋_GB2312" w:cs="仿宋_GB2312"/>
          <w:sz w:val="32"/>
          <w:szCs w:val="32"/>
          <w:highlight w:val="none"/>
          <w:lang w:eastAsia="zh-CN"/>
        </w:rPr>
        <w:t>）。</w:t>
      </w:r>
    </w:p>
    <w:p w14:paraId="45DAD9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p>
    <w:p w14:paraId="739D927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辽宁省</w:t>
      </w:r>
      <w:r>
        <w:rPr>
          <w:rFonts w:hint="eastAsia" w:ascii="仿宋_GB2312" w:hAnsi="仿宋_GB2312" w:eastAsia="仿宋_GB2312" w:cs="仿宋_GB2312"/>
          <w:sz w:val="32"/>
          <w:szCs w:val="32"/>
          <w:highlight w:val="none"/>
          <w:lang w:eastAsia="zh-CN"/>
        </w:rPr>
        <w:t>水利厅建筑业（水利方面）企业资质</w:t>
      </w:r>
      <w:r>
        <w:rPr>
          <w:rFonts w:hint="eastAsia" w:ascii="仿宋_GB2312" w:hAnsi="仿宋_GB2312" w:eastAsia="仿宋_GB2312" w:cs="仿宋_GB2312"/>
          <w:sz w:val="32"/>
          <w:szCs w:val="32"/>
          <w:highlight w:val="none"/>
          <w:lang w:val="en-US" w:eastAsia="zh-CN"/>
        </w:rPr>
        <w:t>行业</w:t>
      </w:r>
    </w:p>
    <w:p w14:paraId="711AEDDD">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审查意见汇总表（</w:t>
      </w:r>
      <w:r>
        <w:rPr>
          <w:rFonts w:hint="eastAsia" w:ascii="仿宋_GB2312" w:hAnsi="仿宋_GB2312" w:eastAsia="仿宋_GB2312" w:cs="仿宋_GB2312"/>
          <w:sz w:val="32"/>
          <w:szCs w:val="32"/>
          <w:highlight w:val="none"/>
          <w:lang w:val="en-US" w:eastAsia="zh-CN"/>
        </w:rPr>
        <w:t>XXXX</w:t>
      </w:r>
      <w:r>
        <w:rPr>
          <w:rFonts w:hint="eastAsia" w:ascii="仿宋_GB2312" w:hAnsi="仿宋_GB2312" w:eastAsia="仿宋_GB2312" w:cs="仿宋_GB2312"/>
          <w:sz w:val="32"/>
          <w:szCs w:val="32"/>
          <w:highlight w:val="none"/>
        </w:rPr>
        <w:t>年第</w:t>
      </w:r>
      <w:r>
        <w:rPr>
          <w:rFonts w:hint="eastAsia" w:ascii="仿宋_GB2312" w:hAnsi="仿宋_GB2312" w:eastAsia="仿宋_GB2312" w:cs="仿宋_GB2312"/>
          <w:sz w:val="32"/>
          <w:szCs w:val="32"/>
          <w:highlight w:val="none"/>
          <w:lang w:val="en-US" w:eastAsia="zh-CN"/>
        </w:rPr>
        <w:t>XX</w:t>
      </w:r>
      <w:r>
        <w:rPr>
          <w:rFonts w:hint="eastAsia" w:ascii="仿宋_GB2312" w:hAnsi="仿宋_GB2312" w:eastAsia="仿宋_GB2312" w:cs="仿宋_GB2312"/>
          <w:sz w:val="32"/>
          <w:szCs w:val="32"/>
          <w:highlight w:val="none"/>
        </w:rPr>
        <w:t>批</w:t>
      </w:r>
      <w:r>
        <w:rPr>
          <w:rFonts w:hint="eastAsia" w:ascii="仿宋_GB2312" w:hAnsi="仿宋_GB2312" w:eastAsia="仿宋_GB2312" w:cs="仿宋_GB2312"/>
          <w:sz w:val="32"/>
          <w:szCs w:val="32"/>
          <w:highlight w:val="none"/>
          <w:lang w:eastAsia="zh-CN"/>
        </w:rPr>
        <w:t>）</w:t>
      </w:r>
    </w:p>
    <w:p w14:paraId="711D3E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p>
    <w:p w14:paraId="20607F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p>
    <w:p w14:paraId="6EB5473F">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辽宁省水利厅</w:t>
      </w:r>
    </w:p>
    <w:p w14:paraId="26538624">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XXXX年XX月XX日</w:t>
      </w:r>
    </w:p>
    <w:p w14:paraId="7FF07423">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_GB2312" w:hAnsi="仿宋_GB2312" w:eastAsia="仿宋_GB2312" w:cs="仿宋_GB2312"/>
          <w:sz w:val="32"/>
          <w:szCs w:val="32"/>
          <w:highlight w:val="none"/>
          <w:lang w:val="en-US" w:eastAsia="zh-CN"/>
        </w:rPr>
      </w:pPr>
    </w:p>
    <w:p w14:paraId="5B6811FB">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_GB2312" w:hAnsi="仿宋_GB2312" w:eastAsia="仿宋_GB2312" w:cs="仿宋_GB2312"/>
          <w:sz w:val="32"/>
          <w:szCs w:val="32"/>
          <w:highlight w:val="none"/>
          <w:lang w:val="en-US" w:eastAsia="zh-CN"/>
        </w:rPr>
      </w:pPr>
    </w:p>
    <w:p w14:paraId="55D75604">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_GB2312" w:hAnsi="仿宋_GB2312" w:eastAsia="仿宋_GB2312" w:cs="仿宋_GB2312"/>
          <w:sz w:val="32"/>
          <w:szCs w:val="32"/>
          <w:highlight w:val="none"/>
          <w:lang w:val="en-US" w:eastAsia="zh-CN"/>
        </w:rPr>
      </w:pPr>
    </w:p>
    <w:p w14:paraId="6165B90B">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_GB2312" w:hAnsi="仿宋_GB2312" w:eastAsia="仿宋_GB2312" w:cs="仿宋_GB2312"/>
          <w:sz w:val="32"/>
          <w:szCs w:val="32"/>
          <w:highlight w:val="none"/>
          <w:lang w:val="en-US" w:eastAsia="zh-CN"/>
        </w:rPr>
      </w:pPr>
    </w:p>
    <w:p w14:paraId="75FA4032">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_GB2312" w:hAnsi="仿宋_GB2312" w:eastAsia="仿宋_GB2312" w:cs="仿宋_GB2312"/>
          <w:sz w:val="32"/>
          <w:szCs w:val="32"/>
          <w:highlight w:val="none"/>
          <w:lang w:val="en-US" w:eastAsia="zh-CN"/>
        </w:rPr>
        <w:sectPr>
          <w:pgSz w:w="11906" w:h="16838"/>
          <w:pgMar w:top="1440" w:right="1800" w:bottom="1440" w:left="1800" w:header="851" w:footer="992" w:gutter="0"/>
          <w:pgNumType w:fmt="numberInDash"/>
          <w:cols w:space="720" w:num="1"/>
          <w:docGrid w:type="lines" w:linePitch="312" w:charSpace="0"/>
        </w:sectPr>
      </w:pPr>
    </w:p>
    <w:p w14:paraId="7CF1D542">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w:t>
      </w:r>
    </w:p>
    <w:p w14:paraId="7A5D4F35">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sz w:val="32"/>
          <w:szCs w:val="32"/>
          <w:highlight w:val="none"/>
          <w:lang w:val="en-US" w:eastAsia="zh-CN"/>
        </w:rPr>
      </w:pPr>
    </w:p>
    <w:p w14:paraId="2AF7FF3C">
      <w:pPr>
        <w:widowControl/>
        <w:snapToGrid w:val="0"/>
        <w:jc w:val="center"/>
        <w:textAlignment w:val="center"/>
        <w:rPr>
          <w:rFonts w:hint="eastAsia" w:ascii="宋体" w:hAnsi="宋体" w:eastAsia="宋体" w:cs="宋体"/>
          <w:b/>
          <w:kern w:val="0"/>
          <w:sz w:val="44"/>
          <w:szCs w:val="44"/>
          <w:highlight w:val="none"/>
          <w:lang w:eastAsia="zh-CN" w:bidi="ar"/>
        </w:rPr>
      </w:pPr>
      <w:r>
        <w:rPr>
          <w:rFonts w:hint="eastAsia" w:ascii="宋体" w:hAnsi="宋体" w:eastAsia="宋体" w:cs="宋体"/>
          <w:b/>
          <w:kern w:val="0"/>
          <w:sz w:val="44"/>
          <w:szCs w:val="44"/>
          <w:highlight w:val="none"/>
          <w:lang w:val="en-US" w:eastAsia="zh-CN" w:bidi="ar"/>
        </w:rPr>
        <w:t>辽宁省</w:t>
      </w:r>
      <w:r>
        <w:rPr>
          <w:rFonts w:hint="eastAsia" w:ascii="宋体" w:hAnsi="宋体" w:eastAsia="宋体" w:cs="宋体"/>
          <w:b/>
          <w:kern w:val="0"/>
          <w:sz w:val="44"/>
          <w:szCs w:val="44"/>
          <w:highlight w:val="none"/>
          <w:lang w:eastAsia="zh-CN" w:bidi="ar"/>
        </w:rPr>
        <w:t>水利厅建筑业（水利方面）企业资质</w:t>
      </w:r>
      <w:r>
        <w:rPr>
          <w:rFonts w:hint="eastAsia" w:ascii="宋体" w:hAnsi="宋体" w:eastAsia="宋体" w:cs="宋体"/>
          <w:b/>
          <w:kern w:val="0"/>
          <w:sz w:val="44"/>
          <w:szCs w:val="44"/>
          <w:highlight w:val="none"/>
          <w:lang w:val="en-US" w:eastAsia="zh-CN" w:bidi="ar"/>
        </w:rPr>
        <w:t>行业</w:t>
      </w:r>
      <w:r>
        <w:rPr>
          <w:rFonts w:hint="eastAsia" w:ascii="宋体" w:hAnsi="宋体" w:eastAsia="宋体" w:cs="宋体"/>
          <w:b/>
          <w:kern w:val="0"/>
          <w:sz w:val="44"/>
          <w:szCs w:val="44"/>
          <w:highlight w:val="none"/>
          <w:lang w:eastAsia="zh-CN" w:bidi="ar"/>
        </w:rPr>
        <w:t>审查意见汇总表</w:t>
      </w:r>
    </w:p>
    <w:p w14:paraId="491EB774">
      <w:pPr>
        <w:widowControl/>
        <w:snapToGrid w:val="0"/>
        <w:jc w:val="center"/>
        <w:textAlignment w:val="center"/>
        <w:rPr>
          <w:rFonts w:hint="eastAsia" w:ascii="楷体" w:hAnsi="楷体" w:eastAsia="楷体" w:cs="楷体"/>
          <w:b w:val="0"/>
          <w:bCs/>
          <w:i w:val="0"/>
          <w:iCs w:val="0"/>
          <w:kern w:val="0"/>
          <w:sz w:val="32"/>
          <w:szCs w:val="32"/>
          <w:highlight w:val="none"/>
          <w:lang w:eastAsia="zh-CN" w:bidi="ar"/>
        </w:rPr>
      </w:pPr>
      <w:r>
        <w:rPr>
          <w:rFonts w:hint="eastAsia" w:ascii="楷体" w:hAnsi="楷体" w:eastAsia="楷体" w:cs="楷体"/>
          <w:b w:val="0"/>
          <w:bCs/>
          <w:i w:val="0"/>
          <w:iCs w:val="0"/>
          <w:kern w:val="0"/>
          <w:sz w:val="32"/>
          <w:szCs w:val="32"/>
          <w:highlight w:val="none"/>
          <w:lang w:eastAsia="zh-CN" w:bidi="ar"/>
        </w:rPr>
        <w:t>（</w:t>
      </w:r>
      <w:r>
        <w:rPr>
          <w:rFonts w:hint="eastAsia" w:ascii="楷体" w:hAnsi="楷体" w:eastAsia="楷体" w:cs="楷体"/>
          <w:b w:val="0"/>
          <w:bCs/>
          <w:i w:val="0"/>
          <w:iCs w:val="0"/>
          <w:kern w:val="0"/>
          <w:sz w:val="32"/>
          <w:szCs w:val="32"/>
          <w:highlight w:val="none"/>
          <w:lang w:val="en-US" w:eastAsia="zh-CN" w:bidi="ar"/>
        </w:rPr>
        <w:t>XXXX年第XX批</w:t>
      </w:r>
      <w:r>
        <w:rPr>
          <w:rFonts w:hint="eastAsia" w:ascii="楷体" w:hAnsi="楷体" w:eastAsia="楷体" w:cs="楷体"/>
          <w:b w:val="0"/>
          <w:bCs/>
          <w:i w:val="0"/>
          <w:iCs w:val="0"/>
          <w:kern w:val="0"/>
          <w:sz w:val="32"/>
          <w:szCs w:val="32"/>
          <w:highlight w:val="none"/>
          <w:lang w:eastAsia="zh-CN" w:bidi="ar"/>
        </w:rPr>
        <w:t>）</w:t>
      </w:r>
    </w:p>
    <w:p w14:paraId="30F8BC1F">
      <w:pPr>
        <w:widowControl/>
        <w:snapToGrid w:val="0"/>
        <w:jc w:val="center"/>
        <w:textAlignment w:val="center"/>
        <w:rPr>
          <w:rFonts w:hint="eastAsia" w:ascii="楷体" w:hAnsi="楷体" w:eastAsia="楷体" w:cs="楷体"/>
          <w:b w:val="0"/>
          <w:bCs/>
          <w:i w:val="0"/>
          <w:iCs w:val="0"/>
          <w:kern w:val="0"/>
          <w:sz w:val="32"/>
          <w:szCs w:val="32"/>
          <w:highlight w:val="none"/>
          <w:lang w:eastAsia="zh-CN" w:bidi="ar"/>
        </w:rPr>
      </w:pPr>
    </w:p>
    <w:tbl>
      <w:tblPr>
        <w:tblStyle w:val="4"/>
        <w:tblW w:w="14055" w:type="dxa"/>
        <w:jc w:val="center"/>
        <w:tblLayout w:type="fixed"/>
        <w:tblCellMar>
          <w:top w:w="0" w:type="dxa"/>
          <w:left w:w="108" w:type="dxa"/>
          <w:bottom w:w="0" w:type="dxa"/>
          <w:right w:w="108" w:type="dxa"/>
        </w:tblCellMar>
      </w:tblPr>
      <w:tblGrid>
        <w:gridCol w:w="900"/>
        <w:gridCol w:w="3405"/>
        <w:gridCol w:w="4380"/>
        <w:gridCol w:w="5370"/>
      </w:tblGrid>
      <w:tr w14:paraId="24D0A7C4">
        <w:tblPrEx>
          <w:tblCellMar>
            <w:top w:w="0" w:type="dxa"/>
            <w:left w:w="108" w:type="dxa"/>
            <w:bottom w:w="0" w:type="dxa"/>
            <w:right w:w="108" w:type="dxa"/>
          </w:tblCellMar>
        </w:tblPrEx>
        <w:trPr>
          <w:trHeight w:val="699" w:hRule="atLeast"/>
          <w:tblHeader/>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71833089">
            <w:pPr>
              <w:widowControl/>
              <w:snapToGrid w:val="0"/>
              <w:jc w:val="center"/>
              <w:textAlignment w:val="center"/>
              <w:rPr>
                <w:rFonts w:hint="eastAsia" w:ascii="宋体" w:hAnsi="宋体" w:eastAsia="宋体" w:cs="宋体"/>
                <w:b/>
                <w:sz w:val="24"/>
                <w:highlight w:val="none"/>
              </w:rPr>
            </w:pPr>
            <w:r>
              <w:rPr>
                <w:rFonts w:hint="eastAsia" w:ascii="宋体" w:hAnsi="宋体" w:eastAsia="宋体" w:cs="宋体"/>
                <w:b/>
                <w:kern w:val="0"/>
                <w:sz w:val="24"/>
                <w:highlight w:val="none"/>
                <w:lang w:bidi="ar"/>
              </w:rPr>
              <w:t>序号</w:t>
            </w:r>
          </w:p>
        </w:tc>
        <w:tc>
          <w:tcPr>
            <w:tcW w:w="3405" w:type="dxa"/>
            <w:tcBorders>
              <w:top w:val="single" w:color="000000" w:sz="4" w:space="0"/>
              <w:left w:val="single" w:color="000000" w:sz="4" w:space="0"/>
              <w:bottom w:val="single" w:color="000000" w:sz="4" w:space="0"/>
              <w:right w:val="single" w:color="000000" w:sz="4" w:space="0"/>
            </w:tcBorders>
            <w:vAlign w:val="center"/>
          </w:tcPr>
          <w:p w14:paraId="67BF8C2F">
            <w:pPr>
              <w:widowControl/>
              <w:snapToGrid w:val="0"/>
              <w:jc w:val="center"/>
              <w:textAlignment w:val="center"/>
              <w:rPr>
                <w:rFonts w:hint="eastAsia" w:ascii="宋体" w:hAnsi="宋体" w:eastAsia="宋体" w:cs="宋体"/>
                <w:b/>
                <w:sz w:val="24"/>
                <w:highlight w:val="none"/>
              </w:rPr>
            </w:pPr>
            <w:r>
              <w:rPr>
                <w:rFonts w:hint="eastAsia" w:ascii="宋体" w:hAnsi="宋体" w:eastAsia="宋体" w:cs="宋体"/>
                <w:b/>
                <w:kern w:val="0"/>
                <w:sz w:val="24"/>
                <w:highlight w:val="none"/>
                <w:lang w:bidi="ar"/>
              </w:rPr>
              <w:t>企业名称</w:t>
            </w:r>
          </w:p>
        </w:tc>
        <w:tc>
          <w:tcPr>
            <w:tcW w:w="4380" w:type="dxa"/>
            <w:tcBorders>
              <w:top w:val="single" w:color="000000" w:sz="4" w:space="0"/>
              <w:left w:val="single" w:color="000000" w:sz="4" w:space="0"/>
              <w:bottom w:val="single" w:color="000000" w:sz="4" w:space="0"/>
              <w:right w:val="single" w:color="000000" w:sz="4" w:space="0"/>
            </w:tcBorders>
            <w:vAlign w:val="center"/>
          </w:tcPr>
          <w:p w14:paraId="14431CBD">
            <w:pPr>
              <w:widowControl/>
              <w:snapToGrid w:val="0"/>
              <w:jc w:val="center"/>
              <w:textAlignment w:val="center"/>
              <w:rPr>
                <w:rFonts w:hint="eastAsia" w:ascii="宋体" w:hAnsi="宋体" w:eastAsia="宋体" w:cs="宋体"/>
                <w:b/>
                <w:sz w:val="24"/>
                <w:highlight w:val="none"/>
              </w:rPr>
            </w:pPr>
            <w:r>
              <w:rPr>
                <w:rFonts w:hint="eastAsia" w:ascii="宋体" w:hAnsi="宋体" w:eastAsia="宋体" w:cs="宋体"/>
                <w:b/>
                <w:kern w:val="0"/>
                <w:sz w:val="24"/>
                <w:highlight w:val="none"/>
                <w:lang w:bidi="ar"/>
              </w:rPr>
              <w:t>申请事项</w:t>
            </w:r>
          </w:p>
        </w:tc>
        <w:tc>
          <w:tcPr>
            <w:tcW w:w="5370" w:type="dxa"/>
            <w:tcBorders>
              <w:top w:val="single" w:color="000000" w:sz="4" w:space="0"/>
              <w:left w:val="single" w:color="000000" w:sz="4" w:space="0"/>
              <w:bottom w:val="single" w:color="000000" w:sz="4" w:space="0"/>
              <w:right w:val="single" w:color="000000" w:sz="4" w:space="0"/>
            </w:tcBorders>
            <w:vAlign w:val="center"/>
          </w:tcPr>
          <w:p w14:paraId="121A5C07">
            <w:pPr>
              <w:widowControl/>
              <w:snapToGrid w:val="0"/>
              <w:jc w:val="center"/>
              <w:textAlignment w:val="center"/>
              <w:rPr>
                <w:rFonts w:hint="eastAsia" w:ascii="宋体" w:hAnsi="宋体" w:eastAsia="宋体" w:cs="宋体"/>
                <w:b/>
                <w:kern w:val="0"/>
                <w:sz w:val="24"/>
                <w:highlight w:val="none"/>
                <w:lang w:eastAsia="zh-CN" w:bidi="ar"/>
              </w:rPr>
            </w:pPr>
            <w:r>
              <w:rPr>
                <w:rFonts w:hint="eastAsia" w:ascii="宋体" w:hAnsi="宋体" w:eastAsia="宋体" w:cs="宋体"/>
                <w:b/>
                <w:kern w:val="0"/>
                <w:sz w:val="24"/>
                <w:highlight w:val="none"/>
                <w:lang w:bidi="ar"/>
              </w:rPr>
              <w:t>审查</w:t>
            </w:r>
            <w:r>
              <w:rPr>
                <w:rFonts w:hint="eastAsia" w:ascii="宋体" w:hAnsi="宋体" w:eastAsia="宋体" w:cs="宋体"/>
                <w:b/>
                <w:kern w:val="0"/>
                <w:sz w:val="24"/>
                <w:highlight w:val="none"/>
                <w:lang w:val="en-US" w:eastAsia="zh-CN" w:bidi="ar"/>
              </w:rPr>
              <w:t>意见</w:t>
            </w:r>
          </w:p>
        </w:tc>
      </w:tr>
      <w:tr w14:paraId="38039481">
        <w:tblPrEx>
          <w:tblCellMar>
            <w:top w:w="0" w:type="dxa"/>
            <w:left w:w="108" w:type="dxa"/>
            <w:bottom w:w="0" w:type="dxa"/>
            <w:right w:w="108" w:type="dxa"/>
          </w:tblCellMar>
        </w:tblPrEx>
        <w:trPr>
          <w:trHeight w:val="93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2E45BB79">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14:paraId="4534DE31">
            <w:pPr>
              <w:widowControl/>
              <w:snapToGrid w:val="0"/>
              <w:jc w:val="left"/>
              <w:textAlignment w:val="center"/>
              <w:rPr>
                <w:rFonts w:hint="eastAsia" w:ascii="仿宋_GB2312" w:hAnsi="仿宋_GB2312" w:eastAsia="仿宋_GB2312" w:cs="仿宋_GB2312"/>
                <w:bCs/>
                <w:color w:val="000000"/>
                <w:sz w:val="24"/>
                <w:szCs w:val="24"/>
                <w:highlight w:val="none"/>
                <w:lang w:eastAsia="zh-CN"/>
              </w:rPr>
            </w:pPr>
          </w:p>
        </w:tc>
        <w:tc>
          <w:tcPr>
            <w:tcW w:w="4380" w:type="dxa"/>
            <w:tcBorders>
              <w:top w:val="single" w:color="000000" w:sz="4" w:space="0"/>
              <w:left w:val="single" w:color="000000" w:sz="4" w:space="0"/>
              <w:bottom w:val="single" w:color="000000" w:sz="4" w:space="0"/>
              <w:right w:val="single" w:color="000000" w:sz="4" w:space="0"/>
            </w:tcBorders>
            <w:vAlign w:val="center"/>
          </w:tcPr>
          <w:p w14:paraId="6DEA3A8E">
            <w:pPr>
              <w:widowControl/>
              <w:snapToGrid w:val="0"/>
              <w:jc w:val="left"/>
              <w:textAlignment w:val="center"/>
              <w:rPr>
                <w:rFonts w:hint="eastAsia" w:ascii="仿宋_GB2312" w:hAnsi="仿宋_GB2312" w:eastAsia="仿宋_GB2312" w:cs="仿宋_GB2312"/>
                <w:bCs/>
                <w:color w:val="000000"/>
                <w:sz w:val="24"/>
                <w:szCs w:val="24"/>
                <w:highlight w:val="none"/>
              </w:rPr>
            </w:pPr>
          </w:p>
        </w:tc>
        <w:tc>
          <w:tcPr>
            <w:tcW w:w="5370" w:type="dxa"/>
            <w:tcBorders>
              <w:top w:val="single" w:color="000000" w:sz="4" w:space="0"/>
              <w:left w:val="single" w:color="000000" w:sz="4" w:space="0"/>
              <w:bottom w:val="single" w:color="000000" w:sz="4" w:space="0"/>
              <w:right w:val="single" w:color="000000" w:sz="4" w:space="0"/>
            </w:tcBorders>
            <w:vAlign w:val="center"/>
          </w:tcPr>
          <w:p w14:paraId="59026E1D">
            <w:pPr>
              <w:widowControl/>
              <w:snapToGrid w:val="0"/>
              <w:jc w:val="left"/>
              <w:textAlignment w:val="center"/>
              <w:rPr>
                <w:rFonts w:hint="eastAsia" w:ascii="仿宋_GB2312" w:hAnsi="仿宋_GB2312" w:eastAsia="仿宋_GB2312" w:cs="仿宋_GB2312"/>
                <w:b w:val="0"/>
                <w:bCs/>
                <w:color w:val="000000"/>
                <w:kern w:val="0"/>
                <w:sz w:val="24"/>
                <w:szCs w:val="24"/>
                <w:highlight w:val="none"/>
                <w:lang w:val="en-US" w:eastAsia="zh-CN" w:bidi="ar"/>
              </w:rPr>
            </w:pPr>
            <w:r>
              <w:rPr>
                <w:rFonts w:hint="eastAsia" w:ascii="仿宋_GB2312" w:hAnsi="仿宋_GB2312" w:eastAsia="仿宋_GB2312" w:cs="仿宋_GB2312"/>
                <w:b/>
                <w:bCs w:val="0"/>
                <w:color w:val="000000"/>
                <w:kern w:val="0"/>
                <w:sz w:val="24"/>
                <w:szCs w:val="24"/>
                <w:highlight w:val="none"/>
                <w:lang w:eastAsia="zh-CN" w:bidi="ar"/>
              </w:rPr>
              <w:t>符合资质要求。</w:t>
            </w:r>
          </w:p>
        </w:tc>
      </w:tr>
      <w:tr w14:paraId="5A45C640">
        <w:tblPrEx>
          <w:tblCellMar>
            <w:top w:w="0" w:type="dxa"/>
            <w:left w:w="108" w:type="dxa"/>
            <w:bottom w:w="0" w:type="dxa"/>
            <w:right w:w="108" w:type="dxa"/>
          </w:tblCellMar>
        </w:tblPrEx>
        <w:trPr>
          <w:trHeight w:val="93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2DD9A0FC">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14:paraId="0C0A47C1">
            <w:pPr>
              <w:widowControl/>
              <w:snapToGrid w:val="0"/>
              <w:jc w:val="left"/>
              <w:textAlignment w:val="center"/>
              <w:rPr>
                <w:rFonts w:hint="eastAsia" w:ascii="仿宋_GB2312" w:hAnsi="仿宋_GB2312" w:eastAsia="仿宋_GB2312" w:cs="仿宋_GB2312"/>
                <w:bCs/>
                <w:color w:val="000000"/>
                <w:sz w:val="24"/>
                <w:szCs w:val="24"/>
                <w:highlight w:val="none"/>
                <w:lang w:eastAsia="zh-CN"/>
              </w:rPr>
            </w:pPr>
          </w:p>
        </w:tc>
        <w:tc>
          <w:tcPr>
            <w:tcW w:w="4380" w:type="dxa"/>
            <w:tcBorders>
              <w:top w:val="single" w:color="000000" w:sz="4" w:space="0"/>
              <w:left w:val="single" w:color="000000" w:sz="4" w:space="0"/>
              <w:bottom w:val="single" w:color="000000" w:sz="4" w:space="0"/>
              <w:right w:val="single" w:color="000000" w:sz="4" w:space="0"/>
            </w:tcBorders>
            <w:vAlign w:val="center"/>
          </w:tcPr>
          <w:p w14:paraId="33D07F10">
            <w:pPr>
              <w:widowControl/>
              <w:snapToGrid w:val="0"/>
              <w:jc w:val="left"/>
              <w:textAlignment w:val="center"/>
              <w:rPr>
                <w:rFonts w:hint="eastAsia" w:ascii="仿宋_GB2312" w:hAnsi="仿宋_GB2312" w:eastAsia="仿宋_GB2312" w:cs="仿宋_GB2312"/>
                <w:bCs/>
                <w:color w:val="000000"/>
                <w:sz w:val="24"/>
                <w:szCs w:val="24"/>
                <w:highlight w:val="none"/>
              </w:rPr>
            </w:pPr>
          </w:p>
        </w:tc>
        <w:tc>
          <w:tcPr>
            <w:tcW w:w="5370" w:type="dxa"/>
            <w:tcBorders>
              <w:top w:val="single" w:color="000000" w:sz="4" w:space="0"/>
              <w:left w:val="single" w:color="000000" w:sz="4" w:space="0"/>
              <w:bottom w:val="single" w:color="000000" w:sz="4" w:space="0"/>
              <w:right w:val="single" w:color="000000" w:sz="4" w:space="0"/>
            </w:tcBorders>
            <w:vAlign w:val="center"/>
          </w:tcPr>
          <w:p w14:paraId="4D4A8E0C">
            <w:pPr>
              <w:widowControl/>
              <w:snapToGrid w:val="0"/>
              <w:jc w:val="left"/>
              <w:textAlignment w:val="center"/>
              <w:rPr>
                <w:rFonts w:hint="eastAsia" w:ascii="仿宋_GB2312" w:hAnsi="仿宋_GB2312" w:eastAsia="仿宋_GB2312" w:cs="仿宋_GB2312"/>
                <w:b/>
                <w:bCs w:val="0"/>
                <w:color w:val="000000"/>
                <w:kern w:val="0"/>
                <w:sz w:val="24"/>
                <w:szCs w:val="24"/>
                <w:highlight w:val="none"/>
                <w:lang w:eastAsia="zh-CN" w:bidi="ar"/>
              </w:rPr>
            </w:pPr>
          </w:p>
        </w:tc>
      </w:tr>
      <w:tr w14:paraId="60E765D6">
        <w:tblPrEx>
          <w:tblCellMar>
            <w:top w:w="0" w:type="dxa"/>
            <w:left w:w="108" w:type="dxa"/>
            <w:bottom w:w="0" w:type="dxa"/>
            <w:right w:w="108" w:type="dxa"/>
          </w:tblCellMar>
        </w:tblPrEx>
        <w:trPr>
          <w:trHeight w:val="93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4048FCBB">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14:paraId="250FC859">
            <w:pPr>
              <w:widowControl/>
              <w:snapToGrid w:val="0"/>
              <w:jc w:val="left"/>
              <w:textAlignment w:val="center"/>
              <w:rPr>
                <w:rFonts w:hint="eastAsia" w:ascii="仿宋_GB2312" w:hAnsi="仿宋_GB2312" w:eastAsia="仿宋_GB2312" w:cs="仿宋_GB2312"/>
                <w:bCs/>
                <w:color w:val="000000"/>
                <w:sz w:val="24"/>
                <w:szCs w:val="24"/>
                <w:highlight w:val="none"/>
              </w:rPr>
            </w:pPr>
          </w:p>
        </w:tc>
        <w:tc>
          <w:tcPr>
            <w:tcW w:w="4380" w:type="dxa"/>
            <w:tcBorders>
              <w:top w:val="single" w:color="000000" w:sz="4" w:space="0"/>
              <w:left w:val="single" w:color="000000" w:sz="4" w:space="0"/>
              <w:bottom w:val="single" w:color="000000" w:sz="4" w:space="0"/>
              <w:right w:val="single" w:color="000000" w:sz="4" w:space="0"/>
            </w:tcBorders>
            <w:vAlign w:val="center"/>
          </w:tcPr>
          <w:p w14:paraId="7B9C1D0C">
            <w:pPr>
              <w:widowControl/>
              <w:snapToGrid w:val="0"/>
              <w:jc w:val="left"/>
              <w:textAlignment w:val="center"/>
              <w:rPr>
                <w:rFonts w:hint="eastAsia" w:ascii="仿宋_GB2312" w:hAnsi="仿宋_GB2312" w:eastAsia="仿宋_GB2312" w:cs="仿宋_GB2312"/>
                <w:bCs/>
                <w:color w:val="000000"/>
                <w:sz w:val="24"/>
                <w:szCs w:val="24"/>
                <w:highlight w:val="none"/>
              </w:rPr>
            </w:pPr>
          </w:p>
        </w:tc>
        <w:tc>
          <w:tcPr>
            <w:tcW w:w="5370" w:type="dxa"/>
            <w:tcBorders>
              <w:top w:val="single" w:color="000000" w:sz="4" w:space="0"/>
              <w:left w:val="single" w:color="000000" w:sz="4" w:space="0"/>
              <w:bottom w:val="single" w:color="000000" w:sz="4" w:space="0"/>
              <w:right w:val="single" w:color="000000" w:sz="4" w:space="0"/>
            </w:tcBorders>
            <w:vAlign w:val="center"/>
          </w:tcPr>
          <w:p w14:paraId="27652BCD">
            <w:pPr>
              <w:widowControl/>
              <w:snapToGrid w:val="0"/>
              <w:jc w:val="left"/>
              <w:textAlignment w:val="center"/>
              <w:rPr>
                <w:rFonts w:hint="eastAsia" w:ascii="仿宋_GB2312" w:hAnsi="仿宋_GB2312" w:eastAsia="仿宋_GB2312" w:cs="仿宋_GB2312"/>
                <w:b/>
                <w:bCs w:val="0"/>
                <w:color w:val="000000"/>
                <w:kern w:val="0"/>
                <w:sz w:val="24"/>
                <w:szCs w:val="24"/>
                <w:highlight w:val="none"/>
                <w:lang w:eastAsia="zh-CN" w:bidi="ar"/>
              </w:rPr>
            </w:pPr>
            <w:r>
              <w:rPr>
                <w:rFonts w:hint="eastAsia" w:ascii="仿宋_GB2312" w:hAnsi="仿宋_GB2312" w:eastAsia="仿宋_GB2312" w:cs="仿宋_GB2312"/>
                <w:b/>
                <w:bCs w:val="0"/>
                <w:color w:val="000000"/>
                <w:kern w:val="0"/>
                <w:sz w:val="24"/>
                <w:szCs w:val="24"/>
                <w:highlight w:val="none"/>
                <w:lang w:val="en-US" w:eastAsia="zh-CN" w:bidi="ar"/>
              </w:rPr>
              <w:t>不</w:t>
            </w:r>
            <w:r>
              <w:rPr>
                <w:rFonts w:hint="eastAsia" w:ascii="仿宋_GB2312" w:hAnsi="仿宋_GB2312" w:eastAsia="仿宋_GB2312" w:cs="仿宋_GB2312"/>
                <w:b/>
                <w:bCs w:val="0"/>
                <w:color w:val="000000"/>
                <w:kern w:val="0"/>
                <w:sz w:val="24"/>
                <w:szCs w:val="24"/>
                <w:highlight w:val="none"/>
                <w:lang w:eastAsia="zh-CN" w:bidi="ar"/>
              </w:rPr>
              <w:t>符合资质要求。</w:t>
            </w:r>
          </w:p>
        </w:tc>
      </w:tr>
      <w:tr w14:paraId="1DED767C">
        <w:tblPrEx>
          <w:tblCellMar>
            <w:top w:w="0" w:type="dxa"/>
            <w:left w:w="108" w:type="dxa"/>
            <w:bottom w:w="0" w:type="dxa"/>
            <w:right w:w="108" w:type="dxa"/>
          </w:tblCellMar>
        </w:tblPrEx>
        <w:trPr>
          <w:trHeight w:val="933"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1424F7EC">
            <w:pPr>
              <w:widowControl/>
              <w:numPr>
                <w:ilvl w:val="0"/>
                <w:numId w:val="1"/>
              </w:numPr>
              <w:snapToGrid w:val="0"/>
              <w:ind w:firstLine="0"/>
              <w:jc w:val="center"/>
              <w:textAlignment w:val="center"/>
              <w:rPr>
                <w:rFonts w:hint="eastAsia" w:ascii="仿宋_GB2312" w:hAnsi="仿宋_GB2312" w:eastAsia="仿宋_GB2312" w:cs="仿宋_GB2312"/>
                <w:bCs/>
                <w:color w:val="000000"/>
                <w:sz w:val="24"/>
                <w:szCs w:val="24"/>
                <w:highlight w:val="none"/>
              </w:rPr>
            </w:pPr>
          </w:p>
        </w:tc>
        <w:tc>
          <w:tcPr>
            <w:tcW w:w="3405" w:type="dxa"/>
            <w:tcBorders>
              <w:top w:val="single" w:color="000000" w:sz="4" w:space="0"/>
              <w:left w:val="single" w:color="000000" w:sz="4" w:space="0"/>
              <w:bottom w:val="single" w:color="000000" w:sz="4" w:space="0"/>
              <w:right w:val="single" w:color="000000" w:sz="4" w:space="0"/>
            </w:tcBorders>
            <w:vAlign w:val="center"/>
          </w:tcPr>
          <w:p w14:paraId="063D0AA7">
            <w:pPr>
              <w:widowControl/>
              <w:snapToGrid w:val="0"/>
              <w:jc w:val="left"/>
              <w:textAlignment w:val="center"/>
              <w:rPr>
                <w:rFonts w:hint="eastAsia" w:ascii="仿宋_GB2312" w:hAnsi="仿宋_GB2312" w:eastAsia="仿宋_GB2312" w:cs="仿宋_GB2312"/>
                <w:bCs/>
                <w:color w:val="000000"/>
                <w:sz w:val="24"/>
                <w:szCs w:val="24"/>
                <w:highlight w:val="none"/>
              </w:rPr>
            </w:pPr>
          </w:p>
        </w:tc>
        <w:tc>
          <w:tcPr>
            <w:tcW w:w="4380" w:type="dxa"/>
            <w:tcBorders>
              <w:top w:val="single" w:color="000000" w:sz="4" w:space="0"/>
              <w:left w:val="single" w:color="000000" w:sz="4" w:space="0"/>
              <w:bottom w:val="single" w:color="000000" w:sz="4" w:space="0"/>
              <w:right w:val="single" w:color="000000" w:sz="4" w:space="0"/>
            </w:tcBorders>
            <w:vAlign w:val="center"/>
          </w:tcPr>
          <w:p w14:paraId="2661DA73">
            <w:pPr>
              <w:widowControl/>
              <w:snapToGrid w:val="0"/>
              <w:jc w:val="left"/>
              <w:textAlignment w:val="center"/>
              <w:rPr>
                <w:rFonts w:hint="eastAsia" w:ascii="仿宋_GB2312" w:hAnsi="仿宋_GB2312" w:eastAsia="仿宋_GB2312" w:cs="仿宋_GB2312"/>
                <w:bCs/>
                <w:color w:val="000000"/>
                <w:sz w:val="24"/>
                <w:szCs w:val="24"/>
                <w:highlight w:val="none"/>
              </w:rPr>
            </w:pPr>
          </w:p>
        </w:tc>
        <w:tc>
          <w:tcPr>
            <w:tcW w:w="5370" w:type="dxa"/>
            <w:tcBorders>
              <w:top w:val="single" w:color="000000" w:sz="4" w:space="0"/>
              <w:left w:val="single" w:color="000000" w:sz="4" w:space="0"/>
              <w:bottom w:val="single" w:color="000000" w:sz="4" w:space="0"/>
              <w:right w:val="single" w:color="000000" w:sz="4" w:space="0"/>
            </w:tcBorders>
            <w:vAlign w:val="center"/>
          </w:tcPr>
          <w:p w14:paraId="6A3E6DDF">
            <w:pPr>
              <w:widowControl/>
              <w:snapToGrid w:val="0"/>
              <w:jc w:val="left"/>
              <w:textAlignment w:val="center"/>
              <w:rPr>
                <w:rFonts w:hint="eastAsia" w:ascii="仿宋_GB2312" w:hAnsi="仿宋_GB2312" w:eastAsia="仿宋_GB2312" w:cs="仿宋_GB2312"/>
                <w:b/>
                <w:bCs w:val="0"/>
                <w:color w:val="000000"/>
                <w:kern w:val="0"/>
                <w:sz w:val="24"/>
                <w:szCs w:val="24"/>
                <w:highlight w:val="none"/>
                <w:lang w:eastAsia="zh-CN" w:bidi="ar"/>
              </w:rPr>
            </w:pPr>
          </w:p>
        </w:tc>
      </w:tr>
    </w:tbl>
    <w:p w14:paraId="619F227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highlight w:val="none"/>
          <w:lang w:val="en-US" w:eastAsia="zh-CN"/>
        </w:rPr>
      </w:pPr>
    </w:p>
    <w:p w14:paraId="6707AAE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highlight w:val="none"/>
          <w:lang w:val="en-US" w:eastAsia="zh-CN"/>
        </w:rPr>
        <w:sectPr>
          <w:pgSz w:w="16838" w:h="11906" w:orient="landscape"/>
          <w:pgMar w:top="1800" w:right="1440" w:bottom="1800" w:left="1440" w:header="851" w:footer="992" w:gutter="0"/>
          <w:pgNumType w:fmt="numberInDash"/>
          <w:cols w:space="720" w:num="1"/>
          <w:docGrid w:type="lines" w:linePitch="312" w:charSpace="0"/>
        </w:sectPr>
      </w:pPr>
    </w:p>
    <w:p w14:paraId="112F3D2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附件2-6</w:t>
      </w:r>
    </w:p>
    <w:p w14:paraId="62EC54CF">
      <w:pPr>
        <w:rPr>
          <w:rFonts w:hint="eastAsia" w:ascii="方正小标宋简体" w:hAnsi="方正小标宋简体" w:eastAsia="方正小标宋简体" w:cs="方正小标宋简体"/>
          <w:sz w:val="44"/>
          <w:szCs w:val="44"/>
          <w:highlight w:val="none"/>
          <w:lang w:val="en-US" w:eastAsia="zh-CN"/>
        </w:rPr>
      </w:pPr>
    </w:p>
    <w:p w14:paraId="3D462D32">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hint="eastAsia" w:ascii="Calibri" w:hAnsi="Calibri" w:eastAsia="宋体" w:cs="Times New Roman"/>
          <w:kern w:val="2"/>
          <w:sz w:val="18"/>
          <w:szCs w:val="24"/>
          <w:highlight w:val="none"/>
          <w:lang w:val="en-US" w:eastAsia="zh-CN" w:bidi="ar-SA"/>
        </w:rPr>
      </w:pPr>
    </w:p>
    <w:p w14:paraId="0039D139">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辽宁省水利厅关于</w:t>
      </w:r>
      <w:r>
        <w:rPr>
          <w:rFonts w:hint="eastAsia" w:ascii="方正小标宋简体" w:hAnsi="方正小标宋简体" w:eastAsia="方正小标宋简体" w:cs="方正小标宋简体"/>
          <w:sz w:val="44"/>
          <w:szCs w:val="44"/>
          <w:highlight w:val="none"/>
          <w:lang w:val="en-US" w:eastAsia="zh-CN"/>
        </w:rPr>
        <w:t>XXXX</w:t>
      </w:r>
      <w:r>
        <w:rPr>
          <w:rFonts w:hint="eastAsia" w:ascii="方正小标宋简体" w:hAnsi="方正小标宋简体" w:eastAsia="方正小标宋简体" w:cs="方正小标宋简体"/>
          <w:sz w:val="44"/>
          <w:szCs w:val="44"/>
          <w:highlight w:val="none"/>
        </w:rPr>
        <w:t>公司等</w:t>
      </w:r>
      <w:r>
        <w:rPr>
          <w:rFonts w:hint="eastAsia" w:ascii="方正小标宋简体" w:hAnsi="方正小标宋简体" w:eastAsia="方正小标宋简体" w:cs="方正小标宋简体"/>
          <w:sz w:val="44"/>
          <w:szCs w:val="44"/>
          <w:highlight w:val="none"/>
          <w:lang w:val="en-US" w:eastAsia="zh-CN"/>
        </w:rPr>
        <w:t>XX</w:t>
      </w:r>
      <w:r>
        <w:rPr>
          <w:rFonts w:hint="eastAsia" w:ascii="方正小标宋简体" w:hAnsi="方正小标宋简体" w:eastAsia="方正小标宋简体" w:cs="方正小标宋简体"/>
          <w:sz w:val="44"/>
          <w:szCs w:val="44"/>
          <w:highlight w:val="none"/>
        </w:rPr>
        <w:t>家企业</w:t>
      </w:r>
    </w:p>
    <w:p w14:paraId="590E622B">
      <w:pPr>
        <w:keepNext w:val="0"/>
        <w:keepLines w:val="0"/>
        <w:pageBreakBefore w:val="0"/>
        <w:widowControl w:val="0"/>
        <w:numPr>
          <w:ilvl w:val="0"/>
          <w:numId w:val="0"/>
        </w:numPr>
        <w:kinsoku/>
        <w:wordWrap/>
        <w:overflowPunct/>
        <w:topLinePunct w:val="0"/>
        <w:autoSpaceDE/>
        <w:autoSpaceDN/>
        <w:bidi w:val="0"/>
        <w:adjustRightInd/>
        <w:spacing w:line="560" w:lineRule="exact"/>
        <w:jc w:val="center"/>
        <w:textAlignment w:val="auto"/>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sz w:val="44"/>
          <w:szCs w:val="44"/>
          <w:highlight w:val="none"/>
          <w:lang w:val="en-US" w:eastAsia="zh-CN"/>
        </w:rPr>
        <w:t>陈述</w:t>
      </w:r>
      <w:r>
        <w:rPr>
          <w:rFonts w:hint="eastAsia" w:ascii="方正小标宋简体" w:hAnsi="方正小标宋简体" w:eastAsia="方正小标宋简体" w:cs="方正小标宋简体"/>
          <w:sz w:val="44"/>
          <w:szCs w:val="44"/>
          <w:highlight w:val="none"/>
        </w:rPr>
        <w:t>材料审查意见</w:t>
      </w:r>
      <w:r>
        <w:rPr>
          <w:rFonts w:hint="eastAsia" w:ascii="方正小标宋简体" w:hAnsi="方正小标宋简体" w:eastAsia="方正小标宋简体" w:cs="方正小标宋简体"/>
          <w:sz w:val="44"/>
          <w:szCs w:val="44"/>
          <w:highlight w:val="none"/>
          <w:lang w:val="en-US" w:eastAsia="zh-CN"/>
        </w:rPr>
        <w:t>的函</w:t>
      </w:r>
    </w:p>
    <w:p w14:paraId="57CB75A3">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p>
    <w:p w14:paraId="5D5D55AB">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辽宁省住房和城乡建设厅</w:t>
      </w:r>
      <w:r>
        <w:rPr>
          <w:rFonts w:hint="eastAsia" w:ascii="仿宋_GB2312" w:hAnsi="仿宋_GB2312" w:eastAsia="仿宋_GB2312" w:cs="仿宋_GB2312"/>
          <w:sz w:val="32"/>
          <w:szCs w:val="32"/>
          <w:highlight w:val="none"/>
          <w:lang w:eastAsia="zh-CN"/>
        </w:rPr>
        <w:t>：</w:t>
      </w:r>
    </w:p>
    <w:p w14:paraId="4D4CA2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XX</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XX</w:t>
      </w:r>
      <w:r>
        <w:rPr>
          <w:rFonts w:hint="eastAsia" w:ascii="仿宋_GB2312" w:hAnsi="仿宋_GB2312" w:eastAsia="仿宋_GB2312" w:cs="仿宋_GB2312"/>
          <w:sz w:val="32"/>
          <w:szCs w:val="32"/>
          <w:highlight w:val="none"/>
        </w:rPr>
        <w:t>日-</w:t>
      </w:r>
      <w:r>
        <w:rPr>
          <w:rFonts w:hint="eastAsia" w:ascii="仿宋_GB2312" w:hAnsi="仿宋_GB2312" w:eastAsia="仿宋_GB2312" w:cs="仿宋_GB2312"/>
          <w:sz w:val="32"/>
          <w:szCs w:val="32"/>
          <w:highlight w:val="none"/>
          <w:lang w:val="en-US" w:eastAsia="zh-CN"/>
        </w:rPr>
        <w:t>XX月XX</w:t>
      </w:r>
      <w:r>
        <w:rPr>
          <w:rFonts w:hint="eastAsia" w:ascii="仿宋_GB2312" w:hAnsi="仿宋_GB2312" w:eastAsia="仿宋_GB2312" w:cs="仿宋_GB2312"/>
          <w:sz w:val="32"/>
          <w:szCs w:val="32"/>
          <w:highlight w:val="none"/>
        </w:rPr>
        <w:t>日，我厅组织专家对你厅转来的</w:t>
      </w:r>
      <w:r>
        <w:rPr>
          <w:rFonts w:hint="eastAsia" w:ascii="仿宋_GB2312" w:hAnsi="仿宋_GB2312" w:eastAsia="仿宋_GB2312" w:cs="仿宋_GB2312"/>
          <w:sz w:val="32"/>
          <w:szCs w:val="32"/>
          <w:highlight w:val="none"/>
          <w:lang w:val="en-US" w:eastAsia="zh-CN"/>
        </w:rPr>
        <w:t>XXXX</w:t>
      </w:r>
      <w:r>
        <w:rPr>
          <w:rFonts w:hint="eastAsia" w:ascii="仿宋_GB2312" w:hAnsi="仿宋_GB2312" w:eastAsia="仿宋_GB2312" w:cs="仿宋_GB2312"/>
          <w:sz w:val="32"/>
          <w:szCs w:val="32"/>
          <w:highlight w:val="none"/>
        </w:rPr>
        <w:t>公司等</w:t>
      </w:r>
      <w:r>
        <w:rPr>
          <w:rFonts w:hint="eastAsia" w:ascii="仿宋_GB2312" w:hAnsi="仿宋_GB2312" w:eastAsia="仿宋_GB2312" w:cs="仿宋_GB2312"/>
          <w:sz w:val="32"/>
          <w:szCs w:val="32"/>
          <w:highlight w:val="none"/>
          <w:lang w:val="en-US" w:eastAsia="zh-CN"/>
        </w:rPr>
        <w:t>XX</w:t>
      </w:r>
      <w:r>
        <w:rPr>
          <w:rFonts w:hint="eastAsia" w:ascii="仿宋_GB2312" w:hAnsi="仿宋_GB2312" w:eastAsia="仿宋_GB2312" w:cs="仿宋_GB2312"/>
          <w:sz w:val="32"/>
          <w:szCs w:val="32"/>
          <w:highlight w:val="none"/>
        </w:rPr>
        <w:t>家</w:t>
      </w:r>
      <w:r>
        <w:rPr>
          <w:rFonts w:hint="eastAsia" w:ascii="仿宋_GB2312" w:hAnsi="仿宋_GB2312" w:eastAsia="仿宋_GB2312" w:cs="仿宋_GB2312"/>
          <w:sz w:val="32"/>
          <w:szCs w:val="32"/>
          <w:highlight w:val="none"/>
          <w:lang w:val="en-US" w:eastAsia="zh-CN"/>
        </w:rPr>
        <w:t>企业陈述材料进行</w:t>
      </w:r>
      <w:r>
        <w:rPr>
          <w:rFonts w:hint="eastAsia" w:ascii="仿宋_GB2312" w:hAnsi="仿宋_GB2312" w:eastAsia="仿宋_GB2312" w:cs="仿宋_GB2312"/>
          <w:sz w:val="32"/>
          <w:szCs w:val="32"/>
          <w:highlight w:val="none"/>
        </w:rPr>
        <w:t>了</w:t>
      </w:r>
      <w:r>
        <w:rPr>
          <w:rFonts w:hint="eastAsia" w:ascii="仿宋_GB2312" w:hAnsi="仿宋_GB2312" w:eastAsia="仿宋_GB2312" w:cs="仿宋_GB2312"/>
          <w:sz w:val="32"/>
          <w:szCs w:val="32"/>
          <w:highlight w:val="none"/>
          <w:lang w:val="en-US" w:eastAsia="zh-CN"/>
        </w:rPr>
        <w:t>行业</w:t>
      </w:r>
      <w:r>
        <w:rPr>
          <w:rFonts w:hint="eastAsia" w:ascii="仿宋_GB2312" w:hAnsi="仿宋_GB2312" w:eastAsia="仿宋_GB2312" w:cs="仿宋_GB2312"/>
          <w:sz w:val="32"/>
          <w:szCs w:val="32"/>
          <w:highlight w:val="none"/>
        </w:rPr>
        <w:t>审查，形成如下</w:t>
      </w:r>
      <w:r>
        <w:rPr>
          <w:rFonts w:hint="eastAsia" w:ascii="仿宋_GB2312" w:hAnsi="仿宋_GB2312" w:eastAsia="仿宋_GB2312" w:cs="仿宋_GB2312"/>
          <w:sz w:val="32"/>
          <w:szCs w:val="32"/>
          <w:highlight w:val="none"/>
          <w:lang w:val="en-US" w:eastAsia="zh-CN"/>
        </w:rPr>
        <w:t>行业</w:t>
      </w:r>
      <w:r>
        <w:rPr>
          <w:rFonts w:hint="eastAsia" w:ascii="仿宋_GB2312" w:hAnsi="仿宋_GB2312" w:eastAsia="仿宋_GB2312" w:cs="仿宋_GB2312"/>
          <w:sz w:val="32"/>
          <w:szCs w:val="32"/>
          <w:highlight w:val="none"/>
        </w:rPr>
        <w:t>审查意见</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XXXX</w:t>
      </w:r>
      <w:r>
        <w:rPr>
          <w:rFonts w:hint="eastAsia" w:ascii="仿宋_GB2312" w:hAnsi="仿宋_GB2312" w:eastAsia="仿宋_GB2312" w:cs="仿宋_GB2312"/>
          <w:sz w:val="32"/>
          <w:szCs w:val="32"/>
          <w:highlight w:val="none"/>
        </w:rPr>
        <w:t>公司</w:t>
      </w:r>
      <w:r>
        <w:rPr>
          <w:rFonts w:hint="eastAsia" w:ascii="仿宋_GB2312" w:hAnsi="仿宋_GB2312" w:eastAsia="仿宋_GB2312" w:cs="仿宋_GB2312"/>
          <w:sz w:val="32"/>
          <w:szCs w:val="32"/>
          <w:highlight w:val="none"/>
          <w:lang w:eastAsia="zh-CN"/>
        </w:rPr>
        <w:t>等</w:t>
      </w:r>
      <w:r>
        <w:rPr>
          <w:rFonts w:hint="eastAsia" w:ascii="仿宋_GB2312" w:hAnsi="仿宋_GB2312" w:eastAsia="仿宋_GB2312" w:cs="仿宋_GB2312"/>
          <w:sz w:val="32"/>
          <w:szCs w:val="32"/>
          <w:highlight w:val="none"/>
          <w:lang w:val="en-US" w:eastAsia="zh-CN"/>
        </w:rPr>
        <w:t>XX家企业陈述后符合资质要求，XXXX公司</w:t>
      </w:r>
      <w:r>
        <w:rPr>
          <w:rFonts w:hint="eastAsia" w:ascii="仿宋_GB2312" w:hAnsi="仿宋_GB2312" w:eastAsia="仿宋_GB2312" w:cs="仿宋_GB2312"/>
          <w:sz w:val="32"/>
          <w:szCs w:val="32"/>
          <w:highlight w:val="none"/>
          <w:lang w:eastAsia="zh-CN"/>
        </w:rPr>
        <w:t>等</w:t>
      </w:r>
      <w:r>
        <w:rPr>
          <w:rFonts w:hint="eastAsia" w:ascii="仿宋_GB2312" w:hAnsi="仿宋_GB2312" w:eastAsia="仿宋_GB2312" w:cs="仿宋_GB2312"/>
          <w:sz w:val="32"/>
          <w:szCs w:val="32"/>
          <w:highlight w:val="none"/>
          <w:lang w:val="en-US" w:eastAsia="zh-CN"/>
        </w:rPr>
        <w:t>XX家企业陈述后仍不</w:t>
      </w:r>
      <w:r>
        <w:rPr>
          <w:rFonts w:hint="eastAsia" w:ascii="仿宋_GB2312" w:hAnsi="仿宋_GB2312" w:eastAsia="仿宋_GB2312" w:cs="仿宋_GB2312"/>
          <w:sz w:val="32"/>
          <w:szCs w:val="32"/>
          <w:highlight w:val="none"/>
        </w:rPr>
        <w:t>符合资质要求</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具体审查意见详见附件</w:t>
      </w:r>
      <w:r>
        <w:rPr>
          <w:rFonts w:hint="eastAsia" w:ascii="仿宋_GB2312" w:hAnsi="仿宋_GB2312" w:eastAsia="仿宋_GB2312" w:cs="仿宋_GB2312"/>
          <w:sz w:val="32"/>
          <w:szCs w:val="32"/>
          <w:highlight w:val="none"/>
          <w:lang w:eastAsia="zh-CN"/>
        </w:rPr>
        <w:t>）。</w:t>
      </w:r>
    </w:p>
    <w:p w14:paraId="6B28C8A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附件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辽宁省</w:t>
      </w:r>
      <w:r>
        <w:rPr>
          <w:rFonts w:hint="eastAsia" w:ascii="仿宋_GB2312" w:hAnsi="仿宋_GB2312" w:eastAsia="仿宋_GB2312" w:cs="仿宋_GB2312"/>
          <w:sz w:val="32"/>
          <w:szCs w:val="32"/>
          <w:highlight w:val="none"/>
          <w:lang w:eastAsia="zh-CN"/>
        </w:rPr>
        <w:t>水利厅建筑业（水利方面）企业</w:t>
      </w:r>
      <w:r>
        <w:rPr>
          <w:rFonts w:hint="eastAsia" w:ascii="仿宋_GB2312" w:hAnsi="仿宋_GB2312" w:eastAsia="仿宋_GB2312" w:cs="仿宋_GB2312"/>
          <w:sz w:val="32"/>
          <w:szCs w:val="32"/>
          <w:highlight w:val="none"/>
          <w:lang w:val="en-US" w:eastAsia="zh-CN"/>
        </w:rPr>
        <w:t>陈述材料</w:t>
      </w:r>
    </w:p>
    <w:p w14:paraId="17EE8B7E">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审查意见汇总表</w:t>
      </w:r>
    </w:p>
    <w:p w14:paraId="4AB379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p>
    <w:p w14:paraId="670E891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p>
    <w:p w14:paraId="43FB8B96">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辽宁省水利厅</w:t>
      </w:r>
    </w:p>
    <w:p w14:paraId="445AD0BA">
      <w:pPr>
        <w:keepNext w:val="0"/>
        <w:keepLines w:val="0"/>
        <w:pageBreakBefore w:val="0"/>
        <w:widowControl w:val="0"/>
        <w:kinsoku/>
        <w:wordWrap/>
        <w:overflowPunct/>
        <w:topLinePunct w:val="0"/>
        <w:autoSpaceDE/>
        <w:autoSpaceDN/>
        <w:bidi w:val="0"/>
        <w:adjustRightInd/>
        <w:snapToGrid/>
        <w:spacing w:line="560" w:lineRule="exact"/>
        <w:ind w:firstLine="4160" w:firstLineChars="13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XXXX年XX月XX日</w:t>
      </w:r>
    </w:p>
    <w:p w14:paraId="30541C14">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pPr>
    </w:p>
    <w:p w14:paraId="761A7D51">
      <w:pPr>
        <w:keepNext w:val="0"/>
        <w:keepLines w:val="0"/>
        <w:pageBreakBefore w:val="0"/>
        <w:widowControl w:val="0"/>
        <w:numPr>
          <w:ilvl w:val="0"/>
          <w:numId w:val="0"/>
        </w:numPr>
        <w:kinsoku/>
        <w:wordWrap/>
        <w:overflowPunct/>
        <w:topLinePunct w:val="0"/>
        <w:autoSpaceDE/>
        <w:autoSpaceDN/>
        <w:bidi w:val="0"/>
        <w:adjustRightInd/>
        <w:spacing w:line="560" w:lineRule="exact"/>
        <w:ind w:left="0" w:leftChars="0" w:firstLine="640" w:firstLineChars="200"/>
        <w:textAlignment w:val="auto"/>
        <w:rPr>
          <w:rFonts w:hint="eastAsia" w:ascii="仿宋_GB2312" w:hAnsi="仿宋_GB2312" w:eastAsia="仿宋_GB2312" w:cs="仿宋_GB2312"/>
          <w:sz w:val="32"/>
          <w:szCs w:val="32"/>
          <w:highlight w:val="none"/>
          <w:lang w:val="en-US" w:eastAsia="zh-CN"/>
        </w:rPr>
        <w:sectPr>
          <w:pgSz w:w="11906" w:h="16838"/>
          <w:pgMar w:top="1440" w:right="1800" w:bottom="1440" w:left="1800" w:header="851" w:footer="992" w:gutter="0"/>
          <w:pgNumType w:fmt="numberInDash"/>
          <w:cols w:space="720" w:num="1"/>
          <w:docGrid w:type="lines" w:linePitch="312" w:charSpace="0"/>
        </w:sectPr>
      </w:pPr>
    </w:p>
    <w:p w14:paraId="76CA621B">
      <w:pPr>
        <w:keepNext w:val="0"/>
        <w:keepLines w:val="0"/>
        <w:pageBreakBefore w:val="0"/>
        <w:widowControl w:val="0"/>
        <w:numPr>
          <w:ilvl w:val="0"/>
          <w:numId w:val="0"/>
        </w:numPr>
        <w:kinsoku/>
        <w:wordWrap/>
        <w:overflowPunct/>
        <w:topLinePunct w:val="0"/>
        <w:autoSpaceDE/>
        <w:autoSpaceDN/>
        <w:bidi w:val="0"/>
        <w:adjustRightInd/>
        <w:spacing w:line="560" w:lineRule="exac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w:t>
      </w:r>
    </w:p>
    <w:p w14:paraId="25A74E96">
      <w:pPr>
        <w:keepNext w:val="0"/>
        <w:keepLines w:val="0"/>
        <w:pageBreakBefore w:val="0"/>
        <w:widowControl w:val="0"/>
        <w:numPr>
          <w:ilvl w:val="0"/>
          <w:numId w:val="0"/>
        </w:numPr>
        <w:kinsoku/>
        <w:wordWrap/>
        <w:overflowPunct/>
        <w:topLinePunct w:val="0"/>
        <w:autoSpaceDE/>
        <w:autoSpaceDN/>
        <w:bidi w:val="0"/>
        <w:adjustRightInd/>
        <w:spacing w:line="560" w:lineRule="exact"/>
        <w:textAlignment w:val="auto"/>
        <w:rPr>
          <w:rFonts w:hint="eastAsia" w:ascii="仿宋_GB2312" w:hAnsi="仿宋_GB2312" w:eastAsia="仿宋_GB2312" w:cs="仿宋_GB2312"/>
          <w:sz w:val="32"/>
          <w:szCs w:val="32"/>
          <w:highlight w:val="none"/>
          <w:lang w:val="en-US" w:eastAsia="zh-CN"/>
        </w:rPr>
      </w:pPr>
    </w:p>
    <w:p w14:paraId="2ADD4EDC">
      <w:pPr>
        <w:widowControl/>
        <w:snapToGrid w:val="0"/>
        <w:jc w:val="center"/>
        <w:textAlignment w:val="center"/>
        <w:rPr>
          <w:rFonts w:hint="eastAsia" w:ascii="方正小标宋简体" w:hAnsi="方正小标宋简体" w:eastAsia="方正小标宋简体" w:cs="方正小标宋简体"/>
          <w:b w:val="0"/>
          <w:bCs/>
          <w:kern w:val="0"/>
          <w:sz w:val="36"/>
          <w:szCs w:val="36"/>
          <w:highlight w:val="none"/>
          <w:lang w:eastAsia="zh-CN" w:bidi="ar"/>
        </w:rPr>
      </w:pPr>
      <w:r>
        <w:rPr>
          <w:rFonts w:hint="eastAsia" w:ascii="方正小标宋简体" w:hAnsi="方正小标宋简体" w:eastAsia="方正小标宋简体" w:cs="方正小标宋简体"/>
          <w:b w:val="0"/>
          <w:bCs/>
          <w:kern w:val="0"/>
          <w:sz w:val="36"/>
          <w:szCs w:val="36"/>
          <w:highlight w:val="none"/>
          <w:lang w:val="en-US" w:eastAsia="zh-CN" w:bidi="ar"/>
        </w:rPr>
        <w:t>辽宁省</w:t>
      </w:r>
      <w:r>
        <w:rPr>
          <w:rFonts w:hint="eastAsia" w:ascii="方正小标宋简体" w:hAnsi="方正小标宋简体" w:eastAsia="方正小标宋简体" w:cs="方正小标宋简体"/>
          <w:b w:val="0"/>
          <w:bCs/>
          <w:kern w:val="0"/>
          <w:sz w:val="36"/>
          <w:szCs w:val="36"/>
          <w:highlight w:val="none"/>
          <w:lang w:eastAsia="zh-CN" w:bidi="ar"/>
        </w:rPr>
        <w:t>水利厅建筑业（水利方面）企业</w:t>
      </w:r>
      <w:r>
        <w:rPr>
          <w:rFonts w:hint="eastAsia" w:ascii="方正小标宋简体" w:hAnsi="方正小标宋简体" w:eastAsia="方正小标宋简体" w:cs="方正小标宋简体"/>
          <w:b w:val="0"/>
          <w:bCs/>
          <w:kern w:val="0"/>
          <w:sz w:val="36"/>
          <w:szCs w:val="36"/>
          <w:highlight w:val="none"/>
          <w:lang w:val="en-US" w:eastAsia="zh-CN" w:bidi="ar"/>
        </w:rPr>
        <w:t>陈述材料</w:t>
      </w:r>
      <w:r>
        <w:rPr>
          <w:rFonts w:hint="eastAsia" w:ascii="方正小标宋简体" w:hAnsi="方正小标宋简体" w:eastAsia="方正小标宋简体" w:cs="方正小标宋简体"/>
          <w:b w:val="0"/>
          <w:bCs/>
          <w:kern w:val="0"/>
          <w:sz w:val="36"/>
          <w:szCs w:val="36"/>
          <w:highlight w:val="none"/>
          <w:lang w:eastAsia="zh-CN" w:bidi="ar"/>
        </w:rPr>
        <w:t>审查意见汇总表</w:t>
      </w:r>
    </w:p>
    <w:p w14:paraId="3BDB2A4C">
      <w:pPr>
        <w:widowControl/>
        <w:snapToGrid w:val="0"/>
        <w:jc w:val="center"/>
        <w:textAlignment w:val="center"/>
        <w:rPr>
          <w:rFonts w:hint="eastAsia" w:ascii="楷体" w:hAnsi="楷体" w:eastAsia="楷体" w:cs="楷体"/>
          <w:b w:val="0"/>
          <w:bCs/>
          <w:i w:val="0"/>
          <w:iCs w:val="0"/>
          <w:kern w:val="0"/>
          <w:sz w:val="32"/>
          <w:szCs w:val="32"/>
          <w:highlight w:val="none"/>
          <w:lang w:eastAsia="zh-CN" w:bidi="ar"/>
        </w:rPr>
      </w:pPr>
    </w:p>
    <w:tbl>
      <w:tblPr>
        <w:tblStyle w:val="4"/>
        <w:tblW w:w="13227" w:type="dxa"/>
        <w:jc w:val="center"/>
        <w:tblLayout w:type="fixed"/>
        <w:tblCellMar>
          <w:top w:w="0" w:type="dxa"/>
          <w:left w:w="108" w:type="dxa"/>
          <w:bottom w:w="0" w:type="dxa"/>
          <w:right w:w="108" w:type="dxa"/>
        </w:tblCellMar>
      </w:tblPr>
      <w:tblGrid>
        <w:gridCol w:w="900"/>
        <w:gridCol w:w="3405"/>
        <w:gridCol w:w="4144"/>
        <w:gridCol w:w="4778"/>
      </w:tblGrid>
      <w:tr w14:paraId="255ABB91">
        <w:tblPrEx>
          <w:tblCellMar>
            <w:top w:w="0" w:type="dxa"/>
            <w:left w:w="108" w:type="dxa"/>
            <w:bottom w:w="0" w:type="dxa"/>
            <w:right w:w="108" w:type="dxa"/>
          </w:tblCellMar>
        </w:tblPrEx>
        <w:trPr>
          <w:trHeight w:val="699" w:hRule="atLeast"/>
          <w:tblHeader/>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5048BA34">
            <w:pPr>
              <w:widowControl/>
              <w:snapToGrid w:val="0"/>
              <w:jc w:val="center"/>
              <w:textAlignment w:val="center"/>
              <w:rPr>
                <w:rFonts w:hint="eastAsia" w:ascii="宋体" w:hAnsi="宋体" w:eastAsia="宋体" w:cs="宋体"/>
                <w:b/>
                <w:sz w:val="24"/>
                <w:highlight w:val="none"/>
              </w:rPr>
            </w:pPr>
            <w:r>
              <w:rPr>
                <w:rFonts w:hint="eastAsia" w:ascii="宋体" w:hAnsi="宋体" w:eastAsia="宋体" w:cs="宋体"/>
                <w:b/>
                <w:kern w:val="0"/>
                <w:sz w:val="24"/>
                <w:highlight w:val="none"/>
                <w:lang w:bidi="ar"/>
              </w:rPr>
              <w:t>序号</w:t>
            </w:r>
          </w:p>
        </w:tc>
        <w:tc>
          <w:tcPr>
            <w:tcW w:w="3405" w:type="dxa"/>
            <w:tcBorders>
              <w:top w:val="single" w:color="000000" w:sz="4" w:space="0"/>
              <w:left w:val="single" w:color="000000" w:sz="4" w:space="0"/>
              <w:bottom w:val="single" w:color="000000" w:sz="4" w:space="0"/>
              <w:right w:val="single" w:color="000000" w:sz="4" w:space="0"/>
            </w:tcBorders>
            <w:vAlign w:val="center"/>
          </w:tcPr>
          <w:p w14:paraId="64D28321">
            <w:pPr>
              <w:widowControl/>
              <w:snapToGrid w:val="0"/>
              <w:jc w:val="center"/>
              <w:textAlignment w:val="center"/>
              <w:rPr>
                <w:rFonts w:hint="eastAsia" w:ascii="宋体" w:hAnsi="宋体" w:eastAsia="宋体" w:cs="宋体"/>
                <w:b/>
                <w:sz w:val="24"/>
                <w:highlight w:val="none"/>
              </w:rPr>
            </w:pPr>
            <w:r>
              <w:rPr>
                <w:rFonts w:hint="eastAsia" w:ascii="宋体" w:hAnsi="宋体" w:eastAsia="宋体" w:cs="宋体"/>
                <w:b/>
                <w:kern w:val="0"/>
                <w:sz w:val="24"/>
                <w:highlight w:val="none"/>
                <w:lang w:bidi="ar"/>
              </w:rPr>
              <w:t>企业名称</w:t>
            </w:r>
          </w:p>
        </w:tc>
        <w:tc>
          <w:tcPr>
            <w:tcW w:w="4144" w:type="dxa"/>
            <w:tcBorders>
              <w:top w:val="single" w:color="000000" w:sz="4" w:space="0"/>
              <w:left w:val="single" w:color="000000" w:sz="4" w:space="0"/>
              <w:bottom w:val="single" w:color="000000" w:sz="4" w:space="0"/>
              <w:right w:val="single" w:color="000000" w:sz="4" w:space="0"/>
            </w:tcBorders>
            <w:vAlign w:val="center"/>
          </w:tcPr>
          <w:p w14:paraId="62AFC667">
            <w:pPr>
              <w:widowControl/>
              <w:snapToGrid w:val="0"/>
              <w:jc w:val="center"/>
              <w:textAlignment w:val="center"/>
              <w:rPr>
                <w:rFonts w:hint="eastAsia" w:ascii="宋体" w:hAnsi="宋体" w:eastAsia="宋体" w:cs="宋体"/>
                <w:b/>
                <w:kern w:val="0"/>
                <w:sz w:val="24"/>
                <w:highlight w:val="none"/>
                <w:lang w:eastAsia="zh-CN" w:bidi="ar"/>
              </w:rPr>
            </w:pPr>
            <w:r>
              <w:rPr>
                <w:rFonts w:hint="eastAsia" w:ascii="宋体" w:hAnsi="宋体" w:eastAsia="宋体" w:cs="宋体"/>
                <w:b/>
                <w:kern w:val="0"/>
                <w:sz w:val="24"/>
                <w:highlight w:val="none"/>
                <w:lang w:val="en-US" w:eastAsia="zh-CN" w:bidi="ar"/>
              </w:rPr>
              <w:t>原</w:t>
            </w:r>
            <w:r>
              <w:rPr>
                <w:rFonts w:hint="eastAsia" w:ascii="宋体" w:hAnsi="宋体" w:eastAsia="宋体" w:cs="宋体"/>
                <w:b/>
                <w:kern w:val="0"/>
                <w:sz w:val="24"/>
                <w:highlight w:val="none"/>
                <w:lang w:bidi="ar"/>
              </w:rPr>
              <w:t>审查</w:t>
            </w:r>
            <w:r>
              <w:rPr>
                <w:rFonts w:hint="eastAsia" w:ascii="宋体" w:hAnsi="宋体" w:eastAsia="宋体" w:cs="宋体"/>
                <w:b/>
                <w:kern w:val="0"/>
                <w:sz w:val="24"/>
                <w:highlight w:val="none"/>
                <w:lang w:val="en-US" w:eastAsia="zh-CN" w:bidi="ar"/>
              </w:rPr>
              <w:t>意见</w:t>
            </w:r>
          </w:p>
        </w:tc>
        <w:tc>
          <w:tcPr>
            <w:tcW w:w="4778" w:type="dxa"/>
            <w:tcBorders>
              <w:top w:val="single" w:color="000000" w:sz="4" w:space="0"/>
              <w:left w:val="single" w:color="000000" w:sz="4" w:space="0"/>
              <w:bottom w:val="single" w:color="000000" w:sz="4" w:space="0"/>
              <w:right w:val="single" w:color="000000" w:sz="4" w:space="0"/>
            </w:tcBorders>
            <w:vAlign w:val="center"/>
          </w:tcPr>
          <w:p w14:paraId="5077EEC4">
            <w:pPr>
              <w:widowControl/>
              <w:snapToGrid w:val="0"/>
              <w:jc w:val="center"/>
              <w:textAlignment w:val="center"/>
              <w:rPr>
                <w:rFonts w:hint="default" w:ascii="宋体" w:hAnsi="宋体" w:eastAsia="宋体" w:cs="宋体"/>
                <w:b/>
                <w:kern w:val="0"/>
                <w:sz w:val="24"/>
                <w:highlight w:val="none"/>
                <w:lang w:val="en-US" w:eastAsia="zh-CN" w:bidi="ar"/>
              </w:rPr>
            </w:pPr>
            <w:r>
              <w:rPr>
                <w:rFonts w:hint="eastAsia" w:ascii="宋体" w:hAnsi="宋体" w:eastAsia="宋体" w:cs="宋体"/>
                <w:b/>
                <w:kern w:val="0"/>
                <w:sz w:val="24"/>
                <w:highlight w:val="none"/>
                <w:lang w:val="en-US" w:eastAsia="zh-CN" w:bidi="ar"/>
              </w:rPr>
              <w:t>陈述材料审查意见</w:t>
            </w:r>
          </w:p>
        </w:tc>
      </w:tr>
      <w:tr w14:paraId="0F949FBA">
        <w:tblPrEx>
          <w:tblCellMar>
            <w:top w:w="0" w:type="dxa"/>
            <w:left w:w="108" w:type="dxa"/>
            <w:bottom w:w="0" w:type="dxa"/>
            <w:right w:w="108" w:type="dxa"/>
          </w:tblCellMar>
        </w:tblPrEx>
        <w:trPr>
          <w:trHeight w:val="1459"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00C231A7">
            <w:pPr>
              <w:widowControl/>
              <w:numPr>
                <w:ilvl w:val="0"/>
                <w:numId w:val="0"/>
              </w:numPr>
              <w:snapToGrid w:val="0"/>
              <w:ind w:leftChars="0"/>
              <w:jc w:val="center"/>
              <w:textAlignment w:val="center"/>
              <w:rPr>
                <w:rFonts w:hint="default"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t>1</w:t>
            </w:r>
          </w:p>
        </w:tc>
        <w:tc>
          <w:tcPr>
            <w:tcW w:w="3405" w:type="dxa"/>
            <w:tcBorders>
              <w:top w:val="single" w:color="000000" w:sz="4" w:space="0"/>
              <w:left w:val="single" w:color="000000" w:sz="4" w:space="0"/>
              <w:bottom w:val="single" w:color="000000" w:sz="4" w:space="0"/>
              <w:right w:val="single" w:color="000000" w:sz="4" w:space="0"/>
            </w:tcBorders>
            <w:vAlign w:val="center"/>
          </w:tcPr>
          <w:p w14:paraId="64153ACB">
            <w:pPr>
              <w:widowControl/>
              <w:snapToGrid w:val="0"/>
              <w:jc w:val="left"/>
              <w:textAlignment w:val="center"/>
              <w:rPr>
                <w:rFonts w:hint="eastAsia" w:ascii="仿宋_GB2312" w:hAnsi="仿宋_GB2312" w:eastAsia="仿宋_GB2312" w:cs="仿宋_GB2312"/>
                <w:bCs/>
                <w:color w:val="000000"/>
                <w:sz w:val="24"/>
                <w:szCs w:val="24"/>
                <w:highlight w:val="none"/>
                <w:lang w:eastAsia="zh-CN"/>
              </w:rPr>
            </w:pPr>
          </w:p>
        </w:tc>
        <w:tc>
          <w:tcPr>
            <w:tcW w:w="4144" w:type="dxa"/>
            <w:tcBorders>
              <w:top w:val="single" w:color="000000" w:sz="4" w:space="0"/>
              <w:left w:val="single" w:color="000000" w:sz="4" w:space="0"/>
              <w:bottom w:val="single" w:color="000000" w:sz="4" w:space="0"/>
              <w:right w:val="single" w:color="000000" w:sz="4" w:space="0"/>
            </w:tcBorders>
            <w:vAlign w:val="center"/>
          </w:tcPr>
          <w:p w14:paraId="59703770">
            <w:pPr>
              <w:widowControl/>
              <w:snapToGrid w:val="0"/>
              <w:jc w:val="left"/>
              <w:textAlignment w:val="center"/>
              <w:rPr>
                <w:rFonts w:hint="default" w:ascii="仿宋_GB2312" w:hAnsi="仿宋_GB2312" w:eastAsia="仿宋_GB2312" w:cs="仿宋_GB2312"/>
                <w:b w:val="0"/>
                <w:bCs/>
                <w:color w:val="000000"/>
                <w:kern w:val="0"/>
                <w:sz w:val="24"/>
                <w:szCs w:val="24"/>
                <w:highlight w:val="none"/>
                <w:lang w:val="en-US" w:eastAsia="zh-CN" w:bidi="ar"/>
              </w:rPr>
            </w:pPr>
          </w:p>
        </w:tc>
        <w:tc>
          <w:tcPr>
            <w:tcW w:w="4778" w:type="dxa"/>
            <w:tcBorders>
              <w:top w:val="single" w:color="000000" w:sz="4" w:space="0"/>
              <w:left w:val="single" w:color="000000" w:sz="4" w:space="0"/>
              <w:bottom w:val="single" w:color="000000" w:sz="4" w:space="0"/>
              <w:right w:val="single" w:color="000000" w:sz="4" w:space="0"/>
            </w:tcBorders>
            <w:vAlign w:val="center"/>
          </w:tcPr>
          <w:p w14:paraId="000528D1">
            <w:pPr>
              <w:widowControl/>
              <w:snapToGrid w:val="0"/>
              <w:jc w:val="left"/>
              <w:textAlignment w:val="center"/>
              <w:rPr>
                <w:rFonts w:hint="default" w:ascii="仿宋_GB2312" w:hAnsi="仿宋_GB2312" w:eastAsia="仿宋_GB2312" w:cs="仿宋_GB2312"/>
                <w:b w:val="0"/>
                <w:bCs/>
                <w:color w:val="000000"/>
                <w:kern w:val="0"/>
                <w:sz w:val="24"/>
                <w:szCs w:val="24"/>
                <w:highlight w:val="none"/>
                <w:lang w:val="en-US" w:eastAsia="zh-CN" w:bidi="ar"/>
              </w:rPr>
            </w:pPr>
          </w:p>
        </w:tc>
      </w:tr>
      <w:tr w14:paraId="3D933685">
        <w:tblPrEx>
          <w:tblCellMar>
            <w:top w:w="0" w:type="dxa"/>
            <w:left w:w="108" w:type="dxa"/>
            <w:bottom w:w="0" w:type="dxa"/>
            <w:right w:w="108" w:type="dxa"/>
          </w:tblCellMar>
        </w:tblPrEx>
        <w:trPr>
          <w:trHeight w:val="1459"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2AB1D8B6">
            <w:pPr>
              <w:widowControl/>
              <w:numPr>
                <w:ilvl w:val="0"/>
                <w:numId w:val="0"/>
              </w:numPr>
              <w:snapToGrid w:val="0"/>
              <w:ind w:leftChars="0"/>
              <w:jc w:val="center"/>
              <w:textAlignment w:val="center"/>
              <w:rPr>
                <w:rFonts w:hint="eastAsia"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t>2</w:t>
            </w:r>
          </w:p>
        </w:tc>
        <w:tc>
          <w:tcPr>
            <w:tcW w:w="3405" w:type="dxa"/>
            <w:tcBorders>
              <w:top w:val="single" w:color="000000" w:sz="4" w:space="0"/>
              <w:left w:val="single" w:color="000000" w:sz="4" w:space="0"/>
              <w:bottom w:val="single" w:color="000000" w:sz="4" w:space="0"/>
              <w:right w:val="single" w:color="000000" w:sz="4" w:space="0"/>
            </w:tcBorders>
            <w:vAlign w:val="center"/>
          </w:tcPr>
          <w:p w14:paraId="335322F2">
            <w:pPr>
              <w:widowControl/>
              <w:snapToGrid w:val="0"/>
              <w:jc w:val="left"/>
              <w:textAlignment w:val="center"/>
              <w:rPr>
                <w:rFonts w:hint="eastAsia" w:ascii="仿宋_GB2312" w:hAnsi="仿宋_GB2312" w:eastAsia="仿宋_GB2312" w:cs="仿宋_GB2312"/>
                <w:bCs/>
                <w:color w:val="000000"/>
                <w:sz w:val="24"/>
                <w:szCs w:val="24"/>
                <w:highlight w:val="none"/>
              </w:rPr>
            </w:pPr>
          </w:p>
        </w:tc>
        <w:tc>
          <w:tcPr>
            <w:tcW w:w="4144" w:type="dxa"/>
            <w:tcBorders>
              <w:top w:val="single" w:color="000000" w:sz="4" w:space="0"/>
              <w:left w:val="single" w:color="000000" w:sz="4" w:space="0"/>
              <w:bottom w:val="single" w:color="000000" w:sz="4" w:space="0"/>
              <w:right w:val="single" w:color="000000" w:sz="4" w:space="0"/>
            </w:tcBorders>
            <w:vAlign w:val="center"/>
          </w:tcPr>
          <w:p w14:paraId="2DA9A2BF">
            <w:pPr>
              <w:widowControl/>
              <w:snapToGrid w:val="0"/>
              <w:jc w:val="left"/>
              <w:textAlignment w:val="center"/>
              <w:rPr>
                <w:rFonts w:hint="default" w:ascii="仿宋_GB2312" w:hAnsi="仿宋_GB2312" w:eastAsia="仿宋_GB2312" w:cs="仿宋_GB2312"/>
                <w:b w:val="0"/>
                <w:bCs/>
                <w:color w:val="000000"/>
                <w:kern w:val="0"/>
                <w:sz w:val="24"/>
                <w:szCs w:val="24"/>
                <w:highlight w:val="none"/>
                <w:lang w:val="en-US" w:eastAsia="zh-CN" w:bidi="ar"/>
              </w:rPr>
            </w:pPr>
          </w:p>
        </w:tc>
        <w:tc>
          <w:tcPr>
            <w:tcW w:w="4778" w:type="dxa"/>
            <w:tcBorders>
              <w:top w:val="single" w:color="000000" w:sz="4" w:space="0"/>
              <w:left w:val="single" w:color="000000" w:sz="4" w:space="0"/>
              <w:bottom w:val="single" w:color="000000" w:sz="4" w:space="0"/>
              <w:right w:val="single" w:color="000000" w:sz="4" w:space="0"/>
            </w:tcBorders>
            <w:vAlign w:val="center"/>
          </w:tcPr>
          <w:p w14:paraId="06E982B0">
            <w:pPr>
              <w:widowControl/>
              <w:snapToGrid w:val="0"/>
              <w:jc w:val="left"/>
              <w:textAlignment w:val="center"/>
              <w:rPr>
                <w:rFonts w:hint="default" w:ascii="仿宋_GB2312" w:hAnsi="仿宋_GB2312" w:eastAsia="仿宋_GB2312" w:cs="仿宋_GB2312"/>
                <w:b/>
                <w:bCs w:val="0"/>
                <w:color w:val="000000"/>
                <w:kern w:val="0"/>
                <w:sz w:val="24"/>
                <w:szCs w:val="24"/>
                <w:highlight w:val="none"/>
                <w:lang w:val="en-US" w:eastAsia="zh-CN" w:bidi="ar"/>
              </w:rPr>
            </w:pPr>
          </w:p>
        </w:tc>
      </w:tr>
      <w:tr w14:paraId="26EBDE8A">
        <w:tblPrEx>
          <w:tblCellMar>
            <w:top w:w="0" w:type="dxa"/>
            <w:left w:w="108" w:type="dxa"/>
            <w:bottom w:w="0" w:type="dxa"/>
            <w:right w:w="108" w:type="dxa"/>
          </w:tblCellMar>
        </w:tblPrEx>
        <w:trPr>
          <w:trHeight w:val="1459" w:hRule="atLeast"/>
          <w:jc w:val="center"/>
        </w:trPr>
        <w:tc>
          <w:tcPr>
            <w:tcW w:w="900" w:type="dxa"/>
            <w:tcBorders>
              <w:top w:val="single" w:color="000000" w:sz="4" w:space="0"/>
              <w:left w:val="single" w:color="000000" w:sz="4" w:space="0"/>
              <w:bottom w:val="single" w:color="000000" w:sz="4" w:space="0"/>
              <w:right w:val="single" w:color="000000" w:sz="4" w:space="0"/>
            </w:tcBorders>
            <w:vAlign w:val="center"/>
          </w:tcPr>
          <w:p w14:paraId="51018854">
            <w:pPr>
              <w:widowControl/>
              <w:numPr>
                <w:ilvl w:val="0"/>
                <w:numId w:val="0"/>
              </w:numPr>
              <w:snapToGrid w:val="0"/>
              <w:ind w:leftChars="0"/>
              <w:jc w:val="center"/>
              <w:textAlignment w:val="center"/>
              <w:rPr>
                <w:rFonts w:hint="default" w:ascii="仿宋_GB2312" w:hAnsi="仿宋_GB2312" w:eastAsia="仿宋_GB2312" w:cs="仿宋_GB2312"/>
                <w:bCs/>
                <w:color w:val="000000"/>
                <w:sz w:val="24"/>
                <w:szCs w:val="24"/>
                <w:highlight w:val="none"/>
                <w:lang w:val="en-US" w:eastAsia="zh-CN"/>
              </w:rPr>
            </w:pPr>
            <w:r>
              <w:rPr>
                <w:rFonts w:hint="eastAsia" w:ascii="仿宋_GB2312" w:hAnsi="仿宋_GB2312" w:eastAsia="仿宋_GB2312" w:cs="仿宋_GB2312"/>
                <w:bCs/>
                <w:color w:val="000000"/>
                <w:sz w:val="24"/>
                <w:szCs w:val="24"/>
                <w:highlight w:val="none"/>
                <w:lang w:val="en-US" w:eastAsia="zh-CN"/>
              </w:rPr>
              <w:t>3</w:t>
            </w:r>
          </w:p>
        </w:tc>
        <w:tc>
          <w:tcPr>
            <w:tcW w:w="3405" w:type="dxa"/>
            <w:tcBorders>
              <w:top w:val="single" w:color="000000" w:sz="4" w:space="0"/>
              <w:left w:val="single" w:color="000000" w:sz="4" w:space="0"/>
              <w:bottom w:val="single" w:color="000000" w:sz="4" w:space="0"/>
              <w:right w:val="single" w:color="000000" w:sz="4" w:space="0"/>
            </w:tcBorders>
            <w:vAlign w:val="center"/>
          </w:tcPr>
          <w:p w14:paraId="75B71323">
            <w:pPr>
              <w:widowControl/>
              <w:snapToGrid w:val="0"/>
              <w:jc w:val="left"/>
              <w:textAlignment w:val="center"/>
              <w:rPr>
                <w:rFonts w:hint="eastAsia" w:ascii="仿宋_GB2312" w:hAnsi="仿宋_GB2312" w:eastAsia="仿宋_GB2312" w:cs="仿宋_GB2312"/>
                <w:bCs/>
                <w:color w:val="000000"/>
                <w:sz w:val="24"/>
                <w:szCs w:val="24"/>
                <w:highlight w:val="none"/>
              </w:rPr>
            </w:pPr>
          </w:p>
        </w:tc>
        <w:tc>
          <w:tcPr>
            <w:tcW w:w="4144" w:type="dxa"/>
            <w:tcBorders>
              <w:top w:val="single" w:color="000000" w:sz="4" w:space="0"/>
              <w:left w:val="single" w:color="000000" w:sz="4" w:space="0"/>
              <w:bottom w:val="single" w:color="000000" w:sz="4" w:space="0"/>
              <w:right w:val="single" w:color="000000" w:sz="4" w:space="0"/>
            </w:tcBorders>
            <w:vAlign w:val="center"/>
          </w:tcPr>
          <w:p w14:paraId="4AC730D8">
            <w:pPr>
              <w:widowControl/>
              <w:snapToGrid w:val="0"/>
              <w:jc w:val="left"/>
              <w:textAlignment w:val="center"/>
              <w:rPr>
                <w:rFonts w:hint="default" w:ascii="仿宋_GB2312" w:hAnsi="仿宋_GB2312" w:eastAsia="仿宋_GB2312" w:cs="仿宋_GB2312"/>
                <w:b w:val="0"/>
                <w:bCs/>
                <w:color w:val="000000"/>
                <w:kern w:val="0"/>
                <w:sz w:val="24"/>
                <w:szCs w:val="24"/>
                <w:highlight w:val="none"/>
                <w:lang w:val="en-US" w:eastAsia="zh-CN" w:bidi="ar"/>
              </w:rPr>
            </w:pPr>
          </w:p>
        </w:tc>
        <w:tc>
          <w:tcPr>
            <w:tcW w:w="4778" w:type="dxa"/>
            <w:tcBorders>
              <w:top w:val="single" w:color="000000" w:sz="4" w:space="0"/>
              <w:left w:val="single" w:color="000000" w:sz="4" w:space="0"/>
              <w:bottom w:val="single" w:color="000000" w:sz="4" w:space="0"/>
              <w:right w:val="single" w:color="000000" w:sz="4" w:space="0"/>
            </w:tcBorders>
            <w:vAlign w:val="center"/>
          </w:tcPr>
          <w:p w14:paraId="3F25CA02">
            <w:pPr>
              <w:widowControl/>
              <w:snapToGrid w:val="0"/>
              <w:jc w:val="left"/>
              <w:textAlignment w:val="center"/>
              <w:rPr>
                <w:rFonts w:hint="default" w:ascii="仿宋_GB2312" w:hAnsi="仿宋_GB2312" w:eastAsia="仿宋_GB2312" w:cs="仿宋_GB2312"/>
                <w:b w:val="0"/>
                <w:bCs/>
                <w:color w:val="000000"/>
                <w:kern w:val="0"/>
                <w:sz w:val="24"/>
                <w:szCs w:val="24"/>
                <w:highlight w:val="none"/>
                <w:lang w:val="en-US" w:eastAsia="zh-CN" w:bidi="ar"/>
              </w:rPr>
            </w:pPr>
          </w:p>
        </w:tc>
      </w:tr>
    </w:tbl>
    <w:p w14:paraId="54AD8227">
      <w:pPr>
        <w:keepNext w:val="0"/>
        <w:keepLines w:val="0"/>
        <w:pageBreakBefore w:val="0"/>
        <w:widowControl w:val="0"/>
        <w:numPr>
          <w:ilvl w:val="0"/>
          <w:numId w:val="0"/>
        </w:numPr>
        <w:kinsoku/>
        <w:wordWrap/>
        <w:overflowPunct/>
        <w:topLinePunct w:val="0"/>
        <w:autoSpaceDE/>
        <w:autoSpaceDN/>
        <w:bidi w:val="0"/>
        <w:adjustRightInd/>
        <w:spacing w:line="560" w:lineRule="exact"/>
        <w:textAlignment w:val="auto"/>
        <w:rPr>
          <w:rFonts w:hint="default" w:ascii="仿宋_GB2312" w:hAnsi="仿宋_GB2312" w:eastAsia="仿宋_GB2312" w:cs="仿宋_GB2312"/>
          <w:sz w:val="32"/>
          <w:szCs w:val="32"/>
          <w:highlight w:val="none"/>
          <w:lang w:val="en-US" w:eastAsia="zh-CN"/>
        </w:rPr>
      </w:pPr>
    </w:p>
    <w:p w14:paraId="2A3AAB02">
      <w:pPr>
        <w:rPr>
          <w:rFonts w:hint="default"/>
          <w:highlight w:val="none"/>
          <w:lang w:val="en-US" w:eastAsia="zh-CN"/>
        </w:rPr>
        <w:sectPr>
          <w:footerReference r:id="rId6" w:type="even"/>
          <w:pgSz w:w="16840" w:h="11907" w:orient="landscape"/>
          <w:pgMar w:top="1588" w:right="2098" w:bottom="1474" w:left="1985" w:header="851" w:footer="1588" w:gutter="0"/>
          <w:pgNumType w:fmt="numberInDash"/>
          <w:cols w:space="720" w:num="1"/>
          <w:docGrid w:type="linesAndChars" w:linePitch="579" w:charSpace="-842"/>
        </w:sectPr>
      </w:pPr>
    </w:p>
    <w:p w14:paraId="6294544D">
      <w:bookmarkStart w:id="4" w:name="_GoBack"/>
      <w:bookmarkEnd w:id="4"/>
    </w:p>
    <w:sectPr>
      <w:pgSz w:w="11907" w:h="16840"/>
      <w:pgMar w:top="2098" w:right="1474" w:bottom="1985" w:left="1588" w:header="851" w:footer="1588" w:gutter="0"/>
      <w:pgNumType w:fmt="numberInDash"/>
      <w:cols w:space="720" w:num="1"/>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金山简标宋">
    <w:altName w:val="方正书宋_GBK"/>
    <w:panose1 w:val="02010609000101010101"/>
    <w:charset w:val="86"/>
    <w:family w:val="modern"/>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楷体">
    <w:altName w:val="方正楷体_GBK"/>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039DD8">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00F0EB47">
                          <w:pPr>
                            <w:snapToGrid w:val="0"/>
                            <w:rPr>
                              <w:rFonts w:hint="eastAsia" w:ascii="仿宋_GB2312" w:hAnsi="仿宋_GB2312" w:eastAsia="仿宋_GB2312" w:cs="仿宋_GB2312"/>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B1NShz0QEAAKIDAAAOAAAAAAAAAAEAIAAAAB8BAABk&#10;cnMvZTJvRG9jLnhtbFBLBQYAAAAABgAGAFkBAABiBQAAAAA=&#10;">
              <v:fill on="f" focussize="0,0"/>
              <v:stroke on="f" weight="0.5pt"/>
              <v:imagedata o:title=""/>
              <o:lock v:ext="edit" aspectratio="f"/>
              <v:textbox inset="0mm,0mm,0mm,0mm" style="mso-fit-shape-to-text:t;">
                <w:txbxContent>
                  <w:p w14:paraId="00F0EB47">
                    <w:pPr>
                      <w:snapToGrid w:val="0"/>
                      <w:rPr>
                        <w:rFonts w:hint="eastAsia" w:ascii="仿宋_GB2312" w:hAnsi="仿宋_GB2312" w:eastAsia="仿宋_GB2312" w:cs="仿宋_GB2312"/>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B6BA1D">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729DDB4">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4729DDB4">
                    <w:pPr>
                      <w:pStyle w:val="3"/>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D9A7F5">
    <w:pPr>
      <w:pStyle w:val="3"/>
      <w:ind w:firstLine="280" w:firstLineChars="100"/>
      <w:rPr>
        <w:sz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D46CD3F">
                          <w:pPr>
                            <w:pStyle w:val="3"/>
                          </w:pPr>
                          <w:r>
                            <w:fldChar w:fldCharType="begin"/>
                          </w:r>
                          <w:r>
                            <w:instrText xml:space="preserve"> PAGE  \* MERGEFORMAT </w:instrText>
                          </w:r>
                          <w:r>
                            <w:fldChar w:fldCharType="separate"/>
                          </w:r>
                          <w:r>
                            <w:t>- 48 -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14:paraId="2D46CD3F">
                    <w:pPr>
                      <w:pStyle w:val="3"/>
                    </w:pPr>
                    <w:r>
                      <w:fldChar w:fldCharType="begin"/>
                    </w:r>
                    <w:r>
                      <w:instrText xml:space="preserve"> PAGE  \* MERGEFORMAT </w:instrText>
                    </w:r>
                    <w:r>
                      <w:fldChar w:fldCharType="separate"/>
                    </w:r>
                    <w:r>
                      <w:t>- 48 -</w:t>
                    </w:r>
                    <w:r>
                      <w:fldChar w:fldCharType="end"/>
                    </w:r>
                  </w:p>
                </w:txbxContent>
              </v:textbox>
            </v:shape>
          </w:pict>
        </mc:Fallback>
      </mc:AlternateContent>
    </w: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5D47C32">
                          <w:pPr>
                            <w:pStyle w:val="3"/>
                            <w:ind w:firstLine="180" w:firstLineChars="100"/>
                          </w:pPr>
                        </w:p>
                        <w:p w14:paraId="52837653"/>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14:paraId="75D47C32">
                    <w:pPr>
                      <w:pStyle w:val="3"/>
                      <w:ind w:firstLine="180" w:firstLineChars="100"/>
                    </w:pPr>
                  </w:p>
                  <w:p w14:paraId="52837653"/>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12A6C">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rPr>
        <w:rFonts w:ascii="Calibri" w:hAnsi="Calibri" w:eastAsia="宋体" w:cs="Times New Roman"/>
        <w:kern w:val="2"/>
        <w:sz w:val="18"/>
        <w:szCs w:val="24"/>
        <w:lang w:val="en-US" w:eastAsia="zh-CN"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F16F6"/>
    <w:multiLevelType w:val="singleLevel"/>
    <w:tmpl w:val="FFEF16F6"/>
    <w:lvl w:ilvl="0" w:tentative="0">
      <w:start w:val="1"/>
      <w:numFmt w:val="decimal"/>
      <w:suff w:val="nothing"/>
      <w:lvlText w:val="%1"/>
      <w:lvlJc w:val="left"/>
      <w:pPr>
        <w:ind w:left="0" w:firstLine="397"/>
      </w:pPr>
      <w:rPr>
        <w:rFonts w:hint="default" w:ascii="宋体" w:hAnsi="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C64B7C"/>
    <w:rsid w:val="48347D9D"/>
    <w:rsid w:val="DAFB6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rPr>
      <w:rFonts w:ascii="Calibri" w:hAnsi="Calibri" w:eastAsia="宋体" w:cs="Times New Roman"/>
      <w:sz w:val="21"/>
    </w:rPr>
  </w:style>
  <w:style w:type="paragraph" w:styleId="3">
    <w:name w:val="footer"/>
    <w:basedOn w:val="1"/>
    <w:qFormat/>
    <w:uiPriority w:val="0"/>
    <w:pPr>
      <w:tabs>
        <w:tab w:val="center" w:pos="4153"/>
        <w:tab w:val="right" w:pos="8306"/>
      </w:tabs>
      <w:snapToGrid w:val="0"/>
      <w:jc w:val="left"/>
    </w:pPr>
    <w:rPr>
      <w:sz w:val="18"/>
      <w:szCs w:val="18"/>
    </w:rPr>
  </w:style>
  <w:style w:type="character" w:styleId="6">
    <w:name w:val="Hyperlink"/>
    <w:basedOn w:val="5"/>
    <w:qFormat/>
    <w:uiPriority w:val="0"/>
    <w:rPr>
      <w:rFonts w:ascii="Calibri" w:hAnsi="Calibri" w:eastAsia="宋体" w:cs="Times New Roman"/>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43</Pages>
  <Words>0</Words>
  <Characters>0</Characters>
  <Lines>0</Lines>
  <Paragraphs>0</Paragraphs>
  <TotalTime>0</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2026-07-08T13:56:00Z</dcterms:created>
  <dc:creator>Huawei</dc:creator>
  <cp:lastModifiedBy>admin1</cp:lastModifiedBy>
  <dcterms:modified xsi:type="dcterms:W3CDTF">2026-08-17T22:39:07Z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KSOTemplateDocerSaveRecord">
    <vt:lpwstr>eyJoZGlkIjoiMzEwNTM5NzYwMDRjMzkwZTVkZjY2ODkwMGIxNGU0OTUiLCJ1c2VySWQiOiI2MDQ3ODE5NTIifQ==</vt:lpwstr>
  </property>
  <property fmtid="{D5CDD505-2E9C-101B-9397-08002B2CF9AE}" pid="4" name="ICV">
    <vt:lpwstr>A9BED66BB42B4566899AB76B1B76872B_12</vt:lpwstr>
  </property>
</Properties>
</file>