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sz w:val="32"/>
          <w:szCs w:val="32"/>
        </w:rPr>
      </w:pPr>
      <w:r>
        <w:rPr>
          <w:rFonts w:hint="eastAsia" w:ascii="黑体" w:hAnsi="黑体" w:eastAsia="黑体" w:cs="Times New Roman"/>
          <w:sz w:val="32"/>
          <w:szCs w:val="32"/>
        </w:rPr>
        <w:t>附件1</w:t>
      </w:r>
    </w:p>
    <w:p>
      <w:pPr>
        <w:jc w:val="center"/>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辽宁省水利建设市场主体良好行为认定标准</w:t>
      </w:r>
    </w:p>
    <w:tbl>
      <w:tblPr>
        <w:tblStyle w:val="6"/>
        <w:tblW w:w="9909" w:type="dxa"/>
        <w:jc w:val="center"/>
        <w:tblInd w:w="0" w:type="dxa"/>
        <w:tblLayout w:type="fixed"/>
        <w:tblCellMar>
          <w:top w:w="0" w:type="dxa"/>
          <w:left w:w="108" w:type="dxa"/>
          <w:bottom w:w="0" w:type="dxa"/>
          <w:right w:w="108" w:type="dxa"/>
        </w:tblCellMar>
      </w:tblPr>
      <w:tblGrid>
        <w:gridCol w:w="556"/>
        <w:gridCol w:w="3865"/>
        <w:gridCol w:w="2268"/>
        <w:gridCol w:w="1020"/>
        <w:gridCol w:w="1107"/>
        <w:gridCol w:w="1093"/>
      </w:tblGrid>
      <w:tr>
        <w:tblPrEx>
          <w:tblLayout w:type="fixed"/>
          <w:tblCellMar>
            <w:top w:w="0" w:type="dxa"/>
            <w:left w:w="108" w:type="dxa"/>
            <w:bottom w:w="0" w:type="dxa"/>
            <w:right w:w="108" w:type="dxa"/>
          </w:tblCellMar>
        </w:tblPrEx>
        <w:trPr>
          <w:trHeight w:val="1050" w:hRule="atLeast"/>
          <w:tblHeader/>
          <w:jc w:val="center"/>
        </w:trPr>
        <w:tc>
          <w:tcPr>
            <w:tcW w:w="55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序号</w:t>
            </w:r>
          </w:p>
        </w:tc>
        <w:tc>
          <w:tcPr>
            <w:tcW w:w="386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良好信用行为</w:t>
            </w:r>
          </w:p>
        </w:tc>
        <w:tc>
          <w:tcPr>
            <w:tcW w:w="2268"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认定或颁奖单位</w:t>
            </w:r>
          </w:p>
        </w:tc>
        <w:tc>
          <w:tcPr>
            <w:tcW w:w="1020"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信用加分值（分）</w:t>
            </w:r>
          </w:p>
        </w:tc>
        <w:tc>
          <w:tcPr>
            <w:tcW w:w="1107"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信用加分有效期</w:t>
            </w:r>
            <w:r>
              <w:rPr>
                <w:rFonts w:hint="eastAsia" w:ascii="仿宋_GB2312" w:hAnsi="仿宋_GB2312" w:eastAsia="仿宋_GB2312" w:cs="仿宋_GB2312"/>
                <w:b/>
                <w:bCs/>
                <w:kern w:val="0"/>
                <w:sz w:val="21"/>
                <w:szCs w:val="21"/>
              </w:rPr>
              <w:br w:type="textWrapping"/>
            </w:r>
            <w:r>
              <w:rPr>
                <w:rFonts w:hint="eastAsia" w:ascii="仿宋_GB2312" w:hAnsi="仿宋_GB2312" w:eastAsia="仿宋_GB2312" w:cs="仿宋_GB2312"/>
                <w:b/>
                <w:bCs/>
                <w:kern w:val="0"/>
                <w:sz w:val="21"/>
                <w:szCs w:val="21"/>
              </w:rPr>
              <w:t>（年）</w:t>
            </w:r>
          </w:p>
        </w:tc>
        <w:tc>
          <w:tcPr>
            <w:tcW w:w="1093"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信用信息公开期</w:t>
            </w:r>
            <w:r>
              <w:rPr>
                <w:rFonts w:hint="eastAsia" w:ascii="仿宋_GB2312" w:hAnsi="仿宋_GB2312" w:eastAsia="仿宋_GB2312" w:cs="仿宋_GB2312"/>
                <w:b/>
                <w:bCs/>
                <w:kern w:val="0"/>
                <w:sz w:val="21"/>
                <w:szCs w:val="21"/>
              </w:rPr>
              <w:br w:type="textWrapping"/>
            </w:r>
            <w:r>
              <w:rPr>
                <w:rFonts w:hint="eastAsia" w:ascii="仿宋_GB2312" w:hAnsi="仿宋_GB2312" w:eastAsia="仿宋_GB2312" w:cs="仿宋_GB2312"/>
                <w:b/>
                <w:bCs/>
                <w:kern w:val="0"/>
                <w:sz w:val="21"/>
                <w:szCs w:val="21"/>
              </w:rPr>
              <w:t>（年）</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中国质量奖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国家市场监督管理总局</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中国质量奖提名奖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国家市场监督管理总局</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省长质量奖金奖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省级人民政府</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省长质量奖银奖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省级人民政府</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鲁班奖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中国建筑业协会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tblPrEx>
          <w:tblLayout w:type="fixed"/>
          <w:tblCellMar>
            <w:top w:w="0" w:type="dxa"/>
            <w:left w:w="108" w:type="dxa"/>
            <w:bottom w:w="0" w:type="dxa"/>
            <w:right w:w="108" w:type="dxa"/>
          </w:tblCellMar>
        </w:tblPrEx>
        <w:trPr>
          <w:trHeight w:val="54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中国土木工程詹天佑奖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中国土木工程学会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中国水利工程优质（大禹）奖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中国水利工程协会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大禹水利科学技术奖特等奖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中国水利学会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大禹水利科学技术奖一等奖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中国水利学会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大禹水利科学技术奖二等奖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中国水利学会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大禹水利科学技术奖三等奖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中国水利学会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中国水土保持学会科学技术奖一等奖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中国水土保持学会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13</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中国水土保持学会科学技术奖二等奖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中国水土保持学会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14</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中国水土保持学会科学技术奖三等奖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中国水土保持学会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水利建设工程文明工地</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中国水利工程协会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16</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全国优秀水利水电工程勘测设计金质奖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中国水利水电勘测</w:t>
            </w:r>
          </w:p>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设计协会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全国优秀水利水电工程勘测设计银质奖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中国水利水电勘测</w:t>
            </w:r>
          </w:p>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设计协会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18</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全国优秀水利水电工程勘测设计铜质奖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中国水利水电勘测</w:t>
            </w:r>
          </w:p>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设计协会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19</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全国优秀工程勘察设计金质奖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中国勘察设计协会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全国优秀工程勘察设计银质奖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中国勘察设计协会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r>
      <w:tr>
        <w:tblPrEx>
          <w:tblLayout w:type="fixed"/>
          <w:tblCellMar>
            <w:top w:w="0" w:type="dxa"/>
            <w:left w:w="108" w:type="dxa"/>
            <w:bottom w:w="0" w:type="dxa"/>
            <w:right w:w="108" w:type="dxa"/>
          </w:tblCellMar>
        </w:tblPrEx>
        <w:trPr>
          <w:trHeight w:val="522"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21</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工程项目管理优秀奖金奖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中国勘察设计协会/</w:t>
            </w:r>
          </w:p>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中国工程咨询协会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r>
        <w:tblPrEx>
          <w:tblLayout w:type="fixed"/>
          <w:tblCellMar>
            <w:top w:w="0" w:type="dxa"/>
            <w:left w:w="108" w:type="dxa"/>
            <w:bottom w:w="0" w:type="dxa"/>
            <w:right w:w="108" w:type="dxa"/>
          </w:tblCellMar>
        </w:tblPrEx>
        <w:trPr>
          <w:trHeight w:val="522"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22</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工程项目管理优秀奖银奖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中国勘察设计协会/</w:t>
            </w:r>
          </w:p>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中国工程咨询协会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r>
        <w:tblPrEx>
          <w:tblLayout w:type="fixed"/>
          <w:tblCellMar>
            <w:top w:w="0" w:type="dxa"/>
            <w:left w:w="108" w:type="dxa"/>
            <w:bottom w:w="0" w:type="dxa"/>
            <w:right w:w="108" w:type="dxa"/>
          </w:tblCellMar>
        </w:tblPrEx>
        <w:trPr>
          <w:trHeight w:val="522"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23</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工程项目管理优秀奖铜奖</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中国勘察设计协会/</w:t>
            </w:r>
          </w:p>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中国工程咨询协会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r>
        <w:tblPrEx>
          <w:tblLayout w:type="fixed"/>
          <w:tblCellMar>
            <w:top w:w="0" w:type="dxa"/>
            <w:left w:w="108" w:type="dxa"/>
            <w:bottom w:w="0" w:type="dxa"/>
            <w:right w:w="108" w:type="dxa"/>
          </w:tblCellMar>
        </w:tblPrEx>
        <w:trPr>
          <w:trHeight w:val="522"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24</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工程总承包优秀奖金钥匙</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中国勘察设计协会/</w:t>
            </w:r>
          </w:p>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中国工程咨询协会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r>
        <w:tblPrEx>
          <w:tblLayout w:type="fixed"/>
          <w:tblCellMar>
            <w:top w:w="0" w:type="dxa"/>
            <w:left w:w="108" w:type="dxa"/>
            <w:bottom w:w="0" w:type="dxa"/>
            <w:right w:w="108" w:type="dxa"/>
          </w:tblCellMar>
        </w:tblPrEx>
        <w:trPr>
          <w:trHeight w:val="522"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工程总承包优秀奖银钥匙</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中国勘察设计协会/</w:t>
            </w:r>
          </w:p>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中国工程咨询协会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r>
        <w:tblPrEx>
          <w:tblLayout w:type="fixed"/>
          <w:tblCellMar>
            <w:top w:w="0" w:type="dxa"/>
            <w:left w:w="108" w:type="dxa"/>
            <w:bottom w:w="0" w:type="dxa"/>
            <w:right w:w="108" w:type="dxa"/>
          </w:tblCellMar>
        </w:tblPrEx>
        <w:trPr>
          <w:trHeight w:val="600" w:hRule="atLeast"/>
          <w:jc w:val="center"/>
        </w:trPr>
        <w:tc>
          <w:tcPr>
            <w:tcW w:w="556" w:type="dxa"/>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26</w:t>
            </w:r>
          </w:p>
        </w:tc>
        <w:tc>
          <w:tcPr>
            <w:tcW w:w="3865"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工程总承包优秀奖铜钥匙</w:t>
            </w:r>
          </w:p>
        </w:tc>
        <w:tc>
          <w:tcPr>
            <w:tcW w:w="226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中国勘察设计协会/</w:t>
            </w:r>
          </w:p>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中国工程咨询协会</w:t>
            </w:r>
          </w:p>
        </w:tc>
        <w:tc>
          <w:tcPr>
            <w:tcW w:w="102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107"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09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r>
        <w:tblPrEx>
          <w:tblLayout w:type="fixed"/>
          <w:tblCellMar>
            <w:top w:w="0" w:type="dxa"/>
            <w:left w:w="108" w:type="dxa"/>
            <w:bottom w:w="0" w:type="dxa"/>
            <w:right w:w="108" w:type="dxa"/>
          </w:tblCellMar>
        </w:tblPrEx>
        <w:trPr>
          <w:trHeight w:val="600"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27</w:t>
            </w:r>
          </w:p>
        </w:tc>
        <w:tc>
          <w:tcPr>
            <w:tcW w:w="3865"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省级表扬激励</w:t>
            </w:r>
          </w:p>
        </w:tc>
        <w:tc>
          <w:tcPr>
            <w:tcW w:w="2268"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省级水行政主管部门</w:t>
            </w:r>
          </w:p>
        </w:tc>
        <w:tc>
          <w:tcPr>
            <w:tcW w:w="1020"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1107"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093"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bl>
    <w:p>
      <w:pPr>
        <w:rPr>
          <w:rFonts w:ascii="仿宋_GB2312" w:hAnsi="Times New Roman" w:eastAsia="仿宋_GB2312" w:cs="Times New Roman"/>
          <w:sz w:val="32"/>
          <w:szCs w:val="32"/>
        </w:rPr>
      </w:pPr>
    </w:p>
    <w:p>
      <w:pPr>
        <w:jc w:val="left"/>
        <w:rPr>
          <w:rFonts w:ascii="黑体" w:hAnsi="黑体" w:eastAsia="黑体" w:cs="Times New Roman"/>
          <w:sz w:val="32"/>
          <w:szCs w:val="32"/>
        </w:rPr>
      </w:pPr>
    </w:p>
    <w:p>
      <w:pPr>
        <w:jc w:val="left"/>
        <w:rPr>
          <w:rFonts w:ascii="黑体" w:hAnsi="黑体" w:eastAsia="黑体" w:cs="Times New Roman"/>
          <w:sz w:val="32"/>
          <w:szCs w:val="32"/>
        </w:rPr>
      </w:pPr>
    </w:p>
    <w:p>
      <w:pPr>
        <w:jc w:val="left"/>
        <w:rPr>
          <w:rFonts w:ascii="黑体" w:hAnsi="黑体" w:eastAsia="黑体" w:cs="Times New Roman"/>
          <w:sz w:val="32"/>
          <w:szCs w:val="32"/>
        </w:rPr>
      </w:pPr>
    </w:p>
    <w:p>
      <w:pPr>
        <w:jc w:val="left"/>
        <w:rPr>
          <w:rFonts w:ascii="黑体" w:hAnsi="黑体" w:eastAsia="黑体" w:cs="Times New Roman"/>
          <w:sz w:val="32"/>
          <w:szCs w:val="32"/>
        </w:rPr>
      </w:pPr>
      <w:r>
        <w:rPr>
          <w:rFonts w:hint="eastAsia" w:ascii="黑体" w:hAnsi="黑体" w:eastAsia="黑体" w:cs="Times New Roman"/>
          <w:sz w:val="32"/>
          <w:szCs w:val="32"/>
        </w:rPr>
        <w:br w:type="page"/>
      </w:r>
      <w:r>
        <w:rPr>
          <w:rFonts w:hint="eastAsia" w:ascii="黑体" w:hAnsi="黑体" w:eastAsia="黑体" w:cs="Times New Roman"/>
          <w:sz w:val="32"/>
          <w:szCs w:val="32"/>
        </w:rPr>
        <w:t>附件2</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kern w:val="0"/>
          <w:sz w:val="32"/>
          <w:szCs w:val="32"/>
        </w:rPr>
        <w:t>辽宁省水利建设市场主体</w:t>
      </w:r>
      <w:r>
        <w:rPr>
          <w:rFonts w:hint="eastAsia" w:ascii="方正小标宋简体" w:hAnsi="方正小标宋简体" w:eastAsia="方正小标宋简体" w:cs="方正小标宋简体"/>
          <w:sz w:val="32"/>
          <w:szCs w:val="32"/>
        </w:rPr>
        <w:t>良好行为认定申请书</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申请单位（盖章）： </w:t>
      </w:r>
    </w:p>
    <w:tbl>
      <w:tblPr>
        <w:tblStyle w:val="6"/>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835"/>
        <w:gridCol w:w="1740"/>
        <w:gridCol w:w="2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1526" w:type="dxa"/>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单位名称</w:t>
            </w:r>
          </w:p>
        </w:tc>
        <w:tc>
          <w:tcPr>
            <w:tcW w:w="2835" w:type="dxa"/>
            <w:vAlign w:val="center"/>
          </w:tcPr>
          <w:p>
            <w:pPr>
              <w:snapToGrid w:val="0"/>
              <w:spacing w:line="240" w:lineRule="auto"/>
              <w:jc w:val="center"/>
              <w:rPr>
                <w:rFonts w:hint="eastAsia" w:ascii="仿宋_GB2312" w:hAnsi="仿宋_GB2312" w:eastAsia="仿宋_GB2312" w:cs="仿宋_GB2312"/>
                <w:sz w:val="21"/>
                <w:szCs w:val="21"/>
              </w:rPr>
            </w:pPr>
          </w:p>
        </w:tc>
        <w:tc>
          <w:tcPr>
            <w:tcW w:w="1740" w:type="dxa"/>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姓名</w:t>
            </w:r>
          </w:p>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（法人代表）</w:t>
            </w:r>
          </w:p>
        </w:tc>
        <w:tc>
          <w:tcPr>
            <w:tcW w:w="2938" w:type="dxa"/>
            <w:vAlign w:val="center"/>
          </w:tcPr>
          <w:p>
            <w:pPr>
              <w:snapToGrid w:val="0"/>
              <w:spacing w:line="24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26" w:type="dxa"/>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性别</w:t>
            </w:r>
          </w:p>
        </w:tc>
        <w:tc>
          <w:tcPr>
            <w:tcW w:w="2835" w:type="dxa"/>
            <w:vAlign w:val="center"/>
          </w:tcPr>
          <w:p>
            <w:pPr>
              <w:snapToGrid w:val="0"/>
              <w:spacing w:line="240" w:lineRule="auto"/>
              <w:jc w:val="center"/>
              <w:rPr>
                <w:rFonts w:hint="eastAsia" w:ascii="仿宋_GB2312" w:hAnsi="仿宋_GB2312" w:eastAsia="仿宋_GB2312" w:cs="仿宋_GB2312"/>
                <w:sz w:val="21"/>
                <w:szCs w:val="21"/>
              </w:rPr>
            </w:pPr>
          </w:p>
        </w:tc>
        <w:tc>
          <w:tcPr>
            <w:tcW w:w="1740" w:type="dxa"/>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身份证号</w:t>
            </w:r>
          </w:p>
        </w:tc>
        <w:tc>
          <w:tcPr>
            <w:tcW w:w="2938" w:type="dxa"/>
            <w:vAlign w:val="center"/>
          </w:tcPr>
          <w:p>
            <w:pPr>
              <w:snapToGrid w:val="0"/>
              <w:spacing w:line="24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26" w:type="dxa"/>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职务</w:t>
            </w:r>
          </w:p>
        </w:tc>
        <w:tc>
          <w:tcPr>
            <w:tcW w:w="2835" w:type="dxa"/>
            <w:vAlign w:val="center"/>
          </w:tcPr>
          <w:p>
            <w:pPr>
              <w:snapToGrid w:val="0"/>
              <w:spacing w:line="240" w:lineRule="auto"/>
              <w:jc w:val="center"/>
              <w:rPr>
                <w:rFonts w:hint="eastAsia" w:ascii="仿宋_GB2312" w:hAnsi="仿宋_GB2312" w:eastAsia="仿宋_GB2312" w:cs="仿宋_GB2312"/>
                <w:sz w:val="21"/>
                <w:szCs w:val="21"/>
              </w:rPr>
            </w:pPr>
          </w:p>
        </w:tc>
        <w:tc>
          <w:tcPr>
            <w:tcW w:w="1740" w:type="dxa"/>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联系电话</w:t>
            </w:r>
          </w:p>
        </w:tc>
        <w:tc>
          <w:tcPr>
            <w:tcW w:w="2938" w:type="dxa"/>
            <w:vAlign w:val="center"/>
          </w:tcPr>
          <w:p>
            <w:pPr>
              <w:snapToGrid w:val="0"/>
              <w:spacing w:line="24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26" w:type="dxa"/>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公司地址</w:t>
            </w:r>
          </w:p>
        </w:tc>
        <w:tc>
          <w:tcPr>
            <w:tcW w:w="2835" w:type="dxa"/>
            <w:vAlign w:val="center"/>
          </w:tcPr>
          <w:p>
            <w:pPr>
              <w:snapToGrid w:val="0"/>
              <w:spacing w:line="240" w:lineRule="auto"/>
              <w:jc w:val="center"/>
              <w:rPr>
                <w:rFonts w:hint="eastAsia" w:ascii="仿宋_GB2312" w:hAnsi="仿宋_GB2312" w:eastAsia="仿宋_GB2312" w:cs="仿宋_GB2312"/>
                <w:sz w:val="21"/>
                <w:szCs w:val="21"/>
              </w:rPr>
            </w:pPr>
          </w:p>
        </w:tc>
        <w:tc>
          <w:tcPr>
            <w:tcW w:w="1740" w:type="dxa"/>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统一社会</w:t>
            </w:r>
          </w:p>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信用代码</w:t>
            </w:r>
          </w:p>
        </w:tc>
        <w:tc>
          <w:tcPr>
            <w:tcW w:w="2938" w:type="dxa"/>
            <w:vAlign w:val="center"/>
          </w:tcPr>
          <w:p>
            <w:pPr>
              <w:snapToGrid w:val="0"/>
              <w:spacing w:line="24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2" w:hRule="atLeast"/>
          <w:jc w:val="center"/>
        </w:trPr>
        <w:tc>
          <w:tcPr>
            <w:tcW w:w="1526" w:type="dxa"/>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良好行为记录基本情况</w:t>
            </w:r>
          </w:p>
        </w:tc>
        <w:tc>
          <w:tcPr>
            <w:tcW w:w="7513" w:type="dxa"/>
            <w:gridSpan w:val="3"/>
            <w:vAlign w:val="center"/>
          </w:tcPr>
          <w:p>
            <w:pPr>
              <w:snapToGrid w:val="0"/>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奖励或表彰名称、等级、评奖机关、评奖时间等。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jc w:val="center"/>
        </w:trPr>
        <w:tc>
          <w:tcPr>
            <w:tcW w:w="1526" w:type="dxa"/>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申请信用动态加分分值</w:t>
            </w:r>
          </w:p>
        </w:tc>
        <w:tc>
          <w:tcPr>
            <w:tcW w:w="7513" w:type="dxa"/>
            <w:gridSpan w:val="3"/>
            <w:vAlign w:val="center"/>
          </w:tcPr>
          <w:p>
            <w:pPr>
              <w:snapToGrid w:val="0"/>
              <w:spacing w:line="24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7" w:hRule="atLeast"/>
          <w:jc w:val="center"/>
        </w:trPr>
        <w:tc>
          <w:tcPr>
            <w:tcW w:w="1526" w:type="dxa"/>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县水行政主管部门意见</w:t>
            </w:r>
          </w:p>
        </w:tc>
        <w:tc>
          <w:tcPr>
            <w:tcW w:w="7513" w:type="dxa"/>
            <w:gridSpan w:val="3"/>
            <w:vAlign w:val="center"/>
          </w:tcPr>
          <w:p>
            <w:pPr>
              <w:snapToGrid w:val="0"/>
              <w:spacing w:line="240" w:lineRule="auto"/>
              <w:jc w:val="right"/>
              <w:rPr>
                <w:rFonts w:hint="eastAsia" w:ascii="仿宋_GB2312" w:hAnsi="仿宋_GB2312" w:eastAsia="仿宋_GB2312" w:cs="仿宋_GB2312"/>
                <w:sz w:val="21"/>
                <w:szCs w:val="21"/>
              </w:rPr>
            </w:pPr>
          </w:p>
          <w:p>
            <w:pPr>
              <w:snapToGrid w:val="0"/>
              <w:spacing w:line="240" w:lineRule="auto"/>
              <w:jc w:val="right"/>
              <w:rPr>
                <w:rFonts w:hint="eastAsia" w:ascii="仿宋_GB2312" w:hAnsi="仿宋_GB2312" w:eastAsia="仿宋_GB2312" w:cs="仿宋_GB2312"/>
                <w:sz w:val="21"/>
                <w:szCs w:val="21"/>
              </w:rPr>
            </w:pPr>
          </w:p>
          <w:p>
            <w:pPr>
              <w:snapToGrid w:val="0"/>
              <w:spacing w:line="240" w:lineRule="auto"/>
              <w:jc w:val="right"/>
              <w:rPr>
                <w:rFonts w:hint="eastAsia" w:ascii="仿宋_GB2312" w:hAnsi="仿宋_GB2312" w:eastAsia="仿宋_GB2312" w:cs="仿宋_GB2312"/>
                <w:sz w:val="21"/>
                <w:szCs w:val="21"/>
              </w:rPr>
            </w:pPr>
          </w:p>
          <w:p>
            <w:pPr>
              <w:wordWrap w:val="0"/>
              <w:snapToGrid w:val="0"/>
              <w:spacing w:line="240" w:lineRule="auto"/>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（盖章）       </w:t>
            </w:r>
          </w:p>
          <w:p>
            <w:pPr>
              <w:wordWrap w:val="0"/>
              <w:snapToGrid w:val="0"/>
              <w:spacing w:line="240" w:lineRule="auto"/>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9" w:hRule="atLeast"/>
          <w:jc w:val="center"/>
        </w:trPr>
        <w:tc>
          <w:tcPr>
            <w:tcW w:w="1526" w:type="dxa"/>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市水行政主管部门意见</w:t>
            </w:r>
          </w:p>
        </w:tc>
        <w:tc>
          <w:tcPr>
            <w:tcW w:w="7513" w:type="dxa"/>
            <w:gridSpan w:val="3"/>
            <w:vAlign w:val="center"/>
          </w:tcPr>
          <w:p>
            <w:pPr>
              <w:snapToGrid w:val="0"/>
              <w:spacing w:line="240" w:lineRule="auto"/>
              <w:jc w:val="right"/>
              <w:rPr>
                <w:rFonts w:hint="eastAsia" w:ascii="仿宋_GB2312" w:hAnsi="仿宋_GB2312" w:eastAsia="仿宋_GB2312" w:cs="仿宋_GB2312"/>
                <w:sz w:val="21"/>
                <w:szCs w:val="21"/>
              </w:rPr>
            </w:pPr>
          </w:p>
          <w:p>
            <w:pPr>
              <w:snapToGrid w:val="0"/>
              <w:spacing w:line="240" w:lineRule="auto"/>
              <w:jc w:val="right"/>
              <w:rPr>
                <w:rFonts w:hint="eastAsia" w:ascii="仿宋_GB2312" w:hAnsi="仿宋_GB2312" w:eastAsia="仿宋_GB2312" w:cs="仿宋_GB2312"/>
                <w:sz w:val="21"/>
                <w:szCs w:val="21"/>
              </w:rPr>
            </w:pPr>
          </w:p>
          <w:p>
            <w:pPr>
              <w:snapToGrid w:val="0"/>
              <w:spacing w:line="240" w:lineRule="auto"/>
              <w:jc w:val="right"/>
              <w:rPr>
                <w:rFonts w:hint="eastAsia" w:ascii="仿宋_GB2312" w:hAnsi="仿宋_GB2312" w:eastAsia="仿宋_GB2312" w:cs="仿宋_GB2312"/>
                <w:sz w:val="21"/>
                <w:szCs w:val="21"/>
              </w:rPr>
            </w:pPr>
          </w:p>
          <w:p>
            <w:pPr>
              <w:wordWrap w:val="0"/>
              <w:snapToGrid w:val="0"/>
              <w:spacing w:line="240" w:lineRule="auto"/>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（盖章）       </w:t>
            </w:r>
          </w:p>
          <w:p>
            <w:pPr>
              <w:wordWrap w:val="0"/>
              <w:snapToGrid w:val="0"/>
              <w:spacing w:line="240" w:lineRule="auto"/>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3" w:hRule="atLeast"/>
          <w:jc w:val="center"/>
        </w:trPr>
        <w:tc>
          <w:tcPr>
            <w:tcW w:w="1526" w:type="dxa"/>
            <w:vAlign w:val="center"/>
          </w:tcPr>
          <w:p>
            <w:pPr>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省级水行政主管部门意见</w:t>
            </w:r>
          </w:p>
        </w:tc>
        <w:tc>
          <w:tcPr>
            <w:tcW w:w="7513" w:type="dxa"/>
            <w:gridSpan w:val="3"/>
            <w:vAlign w:val="center"/>
          </w:tcPr>
          <w:p>
            <w:pPr>
              <w:snapToGrid w:val="0"/>
              <w:spacing w:line="240" w:lineRule="auto"/>
              <w:jc w:val="right"/>
              <w:rPr>
                <w:rFonts w:hint="eastAsia" w:ascii="仿宋_GB2312" w:hAnsi="仿宋_GB2312" w:eastAsia="仿宋_GB2312" w:cs="仿宋_GB2312"/>
                <w:sz w:val="21"/>
                <w:szCs w:val="21"/>
              </w:rPr>
            </w:pPr>
          </w:p>
          <w:p>
            <w:pPr>
              <w:snapToGrid w:val="0"/>
              <w:spacing w:line="240" w:lineRule="auto"/>
              <w:jc w:val="right"/>
              <w:rPr>
                <w:rFonts w:hint="eastAsia" w:ascii="仿宋_GB2312" w:hAnsi="仿宋_GB2312" w:eastAsia="仿宋_GB2312" w:cs="仿宋_GB2312"/>
                <w:sz w:val="21"/>
                <w:szCs w:val="21"/>
              </w:rPr>
            </w:pPr>
          </w:p>
          <w:p>
            <w:pPr>
              <w:snapToGrid w:val="0"/>
              <w:spacing w:line="240" w:lineRule="auto"/>
              <w:jc w:val="right"/>
              <w:rPr>
                <w:rFonts w:hint="eastAsia" w:ascii="仿宋_GB2312" w:hAnsi="仿宋_GB2312" w:eastAsia="仿宋_GB2312" w:cs="仿宋_GB2312"/>
                <w:sz w:val="21"/>
                <w:szCs w:val="21"/>
              </w:rPr>
            </w:pPr>
          </w:p>
          <w:p>
            <w:pPr>
              <w:wordWrap w:val="0"/>
              <w:snapToGrid w:val="0"/>
              <w:spacing w:line="240" w:lineRule="auto"/>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（盖章）       </w:t>
            </w:r>
          </w:p>
          <w:p>
            <w:pPr>
              <w:wordWrap w:val="0"/>
              <w:snapToGrid w:val="0"/>
              <w:spacing w:line="240" w:lineRule="auto"/>
              <w:jc w:val="righ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年    月    日    </w:t>
            </w:r>
          </w:p>
        </w:tc>
      </w:tr>
    </w:tbl>
    <w:p>
      <w:pPr>
        <w:snapToGrid w:val="0"/>
        <w:jc w:val="left"/>
        <w:rPr>
          <w:rFonts w:ascii="黑体" w:hAnsi="黑体" w:eastAsia="黑体" w:cs="Times New Roman"/>
          <w:sz w:val="32"/>
          <w:szCs w:val="32"/>
        </w:rPr>
      </w:pPr>
      <w:r>
        <w:rPr>
          <w:rFonts w:hint="eastAsia" w:ascii="仿宋_GB2312" w:hAnsi="仿宋_GB2312" w:eastAsia="仿宋_GB2312" w:cs="仿宋_GB2312"/>
          <w:sz w:val="21"/>
          <w:szCs w:val="21"/>
        </w:rPr>
        <w:t>注：省内企业向注册所在地水行政主管部门报送此申请书；省外企业直接向省级水行政主管部门报送此申请书。</w:t>
      </w:r>
      <w:r>
        <w:rPr>
          <w:rFonts w:hint="eastAsia" w:ascii="仿宋_GB2312" w:hAnsi="仿宋_GB2312" w:eastAsia="仿宋_GB2312" w:cs="仿宋_GB2312"/>
          <w:sz w:val="21"/>
          <w:szCs w:val="21"/>
        </w:rPr>
        <w:br w:type="page"/>
      </w:r>
      <w:r>
        <w:rPr>
          <w:rFonts w:hint="eastAsia" w:ascii="黑体" w:hAnsi="黑体" w:eastAsia="黑体" w:cs="Times New Roman"/>
          <w:sz w:val="32"/>
          <w:szCs w:val="32"/>
        </w:rPr>
        <w:t>附件3</w:t>
      </w:r>
    </w:p>
    <w:p>
      <w:pPr>
        <w:jc w:val="center"/>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辽宁省水利建设市场主体不良行为认定标准</w:t>
      </w:r>
    </w:p>
    <w:p>
      <w:pPr>
        <w:spacing w:line="560" w:lineRule="exact"/>
        <w:ind w:firstLine="632" w:firstLineChars="200"/>
        <w:rPr>
          <w:rFonts w:ascii="黑体" w:hAnsi="黑体" w:eastAsia="黑体"/>
          <w:sz w:val="32"/>
          <w:szCs w:val="32"/>
        </w:rPr>
      </w:pPr>
    </w:p>
    <w:p>
      <w:pPr>
        <w:spacing w:line="560" w:lineRule="exact"/>
        <w:ind w:firstLine="632" w:firstLineChars="200"/>
        <w:rPr>
          <w:rFonts w:ascii="黑体" w:hAnsi="黑体" w:eastAsia="黑体"/>
          <w:sz w:val="32"/>
          <w:szCs w:val="32"/>
        </w:rPr>
      </w:pPr>
      <w:r>
        <w:rPr>
          <w:rFonts w:hint="eastAsia" w:ascii="黑体" w:hAnsi="黑体" w:eastAsia="黑体"/>
          <w:sz w:val="32"/>
          <w:szCs w:val="32"/>
        </w:rPr>
        <w:t>一、说明</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1.不良行为划分为4个等级（括号内为对应信用动态分值扣分值）：轻微等级（2分）、一般等级（4分）、严重等级（6分）、特别严重等级（10分）。</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2.具体等级划分标准：</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（1）不予公告的不良行为记录信息：均视为轻微等级。</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（2）予以公告的不良行为记录信息，根据具体行政处理结果或不良行为来划分等级：</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轻微等级：责令改正；警告；通报批评等任一轻微行政处理结果，不存在其他行政处理结果的。</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一般等级：单处或并处罚款50万（不含本数）以下的；单处或并处停工整改的。</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严重等级：单处或并处罚款100万元（不含本数）以下的；单处或并处给予单位相关人员处分的；中标无效的；有关具体违法违规行为无效的；降低资质等级的。</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特别严重等级：单处或并处罚款100万元及以上的；单处或并处追究单位、相关人员刑事责任的；吊销营业执照、吊销资质（格）证书、取消资格等的。</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3.扣分期限</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轻微等级（6个月）、一般等级（9个月）、严重等级（12个月）、特别严重等级（18个月）。</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4.公告期限</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（1）对已作出行政处理的不良行为记录信息进行公告的，公告期与扣分有效期是一致的，且公告期同时不得低于相关行政处理期限。</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（2）对未经行政处理但造成不良影响的不良行为记录信息，不予公告（即公告期为0），但对该不良信用行为记录信息进行扣分，扣分有效期为6个月。</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5.同一项不良信用行为存在多项行政处理结果的，以扣分值最高的为准进行扣分及划分等级，不叠加。</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6.举例说明：</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1）“责令改正，可以处一万元以上五万元以下的罚款。”若仅责令整改、没有并处罚款的，视为轻微等级，扣2分，对该不良信用行为记录信息公告6个月；若责令整改同时并处一万元以上五万元以下罚款的，视为一般等级（见第5点意见），扣4分，对该不良信用行为记录信息公告9个月。</w:t>
      </w:r>
    </w:p>
    <w:p>
      <w:pPr>
        <w:spacing w:line="560" w:lineRule="exact"/>
        <w:ind w:firstLine="632" w:firstLineChars="200"/>
        <w:rPr>
          <w:rFonts w:ascii="仿宋_GB2312" w:eastAsia="仿宋_GB2312"/>
          <w:sz w:val="32"/>
          <w:szCs w:val="32"/>
        </w:rPr>
      </w:pPr>
      <w:r>
        <w:rPr>
          <w:rFonts w:hint="eastAsia" w:ascii="仿宋_GB2312" w:eastAsia="仿宋_GB2312"/>
          <w:sz w:val="32"/>
          <w:szCs w:val="32"/>
        </w:rPr>
        <w:t>（2）“中标无效，责令改正，可以处中标项目金额千分之五以上千分之十以下的罚款；对单位直接负责的主管人员和其他直接责任人员依法给予处分。”若仅按中标无效处理，没有罚款，或者并处罚款在100万元以下的，均视为严重等级（见第5点意见），扣分6分，对该不良信用行为记录信息公告12个月；若按中标无效处理同时并处罚款在100万元以上的，视为特别严重等级，扣分10分，对该不良信用行为记录信息公告18个月。</w:t>
      </w:r>
    </w:p>
    <w:p>
      <w:pPr>
        <w:spacing w:line="560" w:lineRule="exact"/>
        <w:ind w:firstLine="632" w:firstLineChars="200"/>
        <w:rPr>
          <w:rFonts w:ascii="黑体" w:hAnsi="黑体" w:eastAsia="黑体" w:cs="Times New Roman"/>
          <w:kern w:val="0"/>
          <w:sz w:val="32"/>
          <w:szCs w:val="32"/>
        </w:rPr>
      </w:pPr>
      <w:r>
        <w:rPr>
          <w:rFonts w:hint="eastAsia" w:ascii="黑体" w:hAnsi="黑体" w:eastAsia="黑体" w:cs="Times New Roman"/>
          <w:kern w:val="0"/>
          <w:sz w:val="32"/>
          <w:szCs w:val="32"/>
        </w:rPr>
        <w:t>二、具体认定标准</w:t>
      </w:r>
    </w:p>
    <w:p>
      <w:pPr>
        <w:spacing w:line="560" w:lineRule="exact"/>
        <w:ind w:firstLine="632"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1.项目法人不良行为认定标准（见附表3-1）</w:t>
      </w:r>
    </w:p>
    <w:p>
      <w:pPr>
        <w:spacing w:line="560" w:lineRule="exact"/>
        <w:ind w:firstLine="632"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2.勘察单位不良行为认定标准（见附表3-2）</w:t>
      </w:r>
    </w:p>
    <w:p>
      <w:pPr>
        <w:spacing w:line="560" w:lineRule="exact"/>
        <w:ind w:firstLine="632"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3.设计单位不良行为认定标准（见附表3-3）</w:t>
      </w:r>
    </w:p>
    <w:p>
      <w:pPr>
        <w:spacing w:line="560" w:lineRule="exact"/>
        <w:ind w:firstLine="632"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4.监理单位不良行为认定标准（见附表3-4）</w:t>
      </w:r>
    </w:p>
    <w:p>
      <w:pPr>
        <w:spacing w:line="560" w:lineRule="exact"/>
        <w:ind w:firstLine="632"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5.施工单位不良行为认定标准（见附表3-5）</w:t>
      </w:r>
    </w:p>
    <w:p>
      <w:pPr>
        <w:spacing w:line="560" w:lineRule="exact"/>
        <w:ind w:firstLine="632" w:firstLineChars="200"/>
        <w:rPr>
          <w:rFonts w:hint="eastAsia" w:ascii="仿宋_GB2312" w:hAnsi="Times New Roman" w:eastAsia="仿宋_GB2312" w:cs="Times New Roman"/>
          <w:kern w:val="0"/>
          <w:sz w:val="32"/>
          <w:szCs w:val="32"/>
        </w:rPr>
        <w:sectPr>
          <w:footerReference r:id="rId5" w:type="first"/>
          <w:footerReference r:id="rId3" w:type="default"/>
          <w:footerReference r:id="rId4" w:type="even"/>
          <w:pgSz w:w="11907" w:h="16840"/>
          <w:pgMar w:top="2098" w:right="1474" w:bottom="1985" w:left="1588" w:header="851" w:footer="1588" w:gutter="0"/>
          <w:pgNumType w:fmt="numberInDash"/>
          <w:cols w:space="720" w:num="1"/>
          <w:docGrid w:type="linesAndChars" w:linePitch="579" w:charSpace="-842"/>
        </w:sectPr>
      </w:pPr>
      <w:r>
        <w:rPr>
          <w:rFonts w:hint="eastAsia" w:ascii="仿宋_GB2312" w:hAnsi="Times New Roman" w:eastAsia="仿宋_GB2312" w:cs="Times New Roman"/>
          <w:kern w:val="0"/>
          <w:sz w:val="32"/>
          <w:szCs w:val="32"/>
        </w:rPr>
        <w:t>6.质量检测单位不良行为认定标准（见附表3-6）</w:t>
      </w:r>
    </w:p>
    <w:p>
      <w:pPr>
        <w:pStyle w:val="4"/>
        <w:shd w:val="clear" w:color="auto" w:fill="FFFFFF"/>
        <w:spacing w:beforeAutospacing="0" w:afterAutospacing="0" w:line="64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pPr>
        <w:pStyle w:val="4"/>
        <w:shd w:val="clear" w:color="auto" w:fill="FFFFFF"/>
        <w:spacing w:beforeAutospacing="0" w:afterAutospacing="0" w:line="64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pacing w:val="0"/>
          <w:kern w:val="0"/>
          <w:sz w:val="44"/>
          <w:szCs w:val="44"/>
          <w:highlight w:val="none"/>
        </w:rPr>
        <w:t>辽宁省水利建设市场主体不良行为认定标准</w:t>
      </w:r>
    </w:p>
    <w:p>
      <w:pPr>
        <w:pStyle w:val="4"/>
        <w:shd w:val="clear" w:color="auto" w:fill="FFFFFF"/>
        <w:spacing w:beforeAutospacing="0" w:afterAutospacing="0" w:line="640" w:lineRule="exact"/>
        <w:jc w:val="center"/>
        <w:rPr>
          <w:rFonts w:ascii="方正小标宋简体" w:hAnsi="方正小标宋简体" w:eastAsia="方正小标宋简体" w:cs="方正小标宋简体"/>
          <w:sz w:val="36"/>
          <w:highlight w:val="none"/>
        </w:rPr>
      </w:pPr>
    </w:p>
    <w:p>
      <w:pPr>
        <w:jc w:val="center"/>
        <w:rPr>
          <w:rFonts w:ascii="黑体" w:hAnsi="黑体" w:eastAsia="黑体" w:cs="Times New Roman"/>
          <w:sz w:val="32"/>
          <w:szCs w:val="32"/>
          <w:highlight w:val="none"/>
        </w:rPr>
      </w:pPr>
      <w:r>
        <w:rPr>
          <w:rFonts w:hint="eastAsia" w:ascii="黑体" w:hAnsi="黑体" w:eastAsia="黑体" w:cs="Times New Roman"/>
          <w:sz w:val="32"/>
          <w:szCs w:val="32"/>
          <w:highlight w:val="none"/>
        </w:rPr>
        <w:t xml:space="preserve">附表3-1  </w:t>
      </w:r>
      <w:r>
        <w:rPr>
          <w:rFonts w:hint="eastAsia" w:ascii="黑体" w:hAnsi="黑体" w:eastAsia="黑体" w:cs="Times New Roman"/>
          <w:kern w:val="0"/>
          <w:sz w:val="32"/>
          <w:szCs w:val="32"/>
          <w:highlight w:val="none"/>
        </w:rPr>
        <w:t>项目法人不良行为认定标准</w:t>
      </w:r>
    </w:p>
    <w:tbl>
      <w:tblPr>
        <w:tblStyle w:val="6"/>
        <w:tblW w:w="21165" w:type="dxa"/>
        <w:jc w:val="center"/>
        <w:tblInd w:w="0" w:type="dxa"/>
        <w:tblLayout w:type="fixed"/>
        <w:tblCellMar>
          <w:top w:w="15" w:type="dxa"/>
          <w:left w:w="15" w:type="dxa"/>
          <w:bottom w:w="15" w:type="dxa"/>
          <w:right w:w="15" w:type="dxa"/>
        </w:tblCellMar>
      </w:tblPr>
      <w:tblGrid>
        <w:gridCol w:w="766"/>
        <w:gridCol w:w="712"/>
        <w:gridCol w:w="5516"/>
        <w:gridCol w:w="5049"/>
        <w:gridCol w:w="3948"/>
        <w:gridCol w:w="1772"/>
        <w:gridCol w:w="1134"/>
        <w:gridCol w:w="1134"/>
        <w:gridCol w:w="1134"/>
      </w:tblGrid>
      <w:tr>
        <w:tblPrEx>
          <w:tblLayout w:type="fixed"/>
          <w:tblCellMar>
            <w:top w:w="15" w:type="dxa"/>
            <w:left w:w="15" w:type="dxa"/>
            <w:bottom w:w="15" w:type="dxa"/>
            <w:right w:w="15" w:type="dxa"/>
          </w:tblCellMar>
        </w:tblPrEx>
        <w:trPr>
          <w:trHeight w:val="1115" w:hRule="atLeast"/>
          <w:tblHeader/>
          <w:jc w:val="center"/>
        </w:trPr>
        <w:tc>
          <w:tcPr>
            <w:tcW w:w="766" w:type="dxa"/>
            <w:tcBorders>
              <w:top w:val="single" w:color="000000" w:sz="4" w:space="0"/>
              <w:left w:val="single" w:color="000000" w:sz="4" w:space="0"/>
              <w:bottom w:val="single" w:color="auto" w:sz="4" w:space="0"/>
              <w:right w:val="single" w:color="000000"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行为</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类别</w:t>
            </w:r>
          </w:p>
        </w:tc>
        <w:tc>
          <w:tcPr>
            <w:tcW w:w="712" w:type="dxa"/>
            <w:tcBorders>
              <w:top w:val="single" w:color="000000" w:sz="4" w:space="0"/>
              <w:left w:val="single" w:color="000000" w:sz="4" w:space="0"/>
              <w:bottom w:val="single" w:color="auto" w:sz="4" w:space="0"/>
              <w:right w:val="single" w:color="000000"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序号</w:t>
            </w:r>
          </w:p>
        </w:tc>
        <w:tc>
          <w:tcPr>
            <w:tcW w:w="5516" w:type="dxa"/>
            <w:tcBorders>
              <w:top w:val="single" w:color="000000" w:sz="4" w:space="0"/>
              <w:left w:val="single" w:color="000000" w:sz="4" w:space="0"/>
              <w:bottom w:val="single" w:color="auto" w:sz="4" w:space="0"/>
              <w:right w:val="single" w:color="000000"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不良信用行为</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法律法规和规章依据</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行政处理</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不良行为等级</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信用</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扣分值</w:t>
            </w:r>
            <w:r>
              <w:rPr>
                <w:rFonts w:hint="eastAsia" w:ascii="仿宋_GB2312" w:hAnsi="仿宋_GB2312" w:eastAsia="仿宋_GB2312" w:cs="仿宋_GB2312"/>
                <w:b/>
                <w:bCs/>
                <w:kern w:val="0"/>
                <w:sz w:val="21"/>
                <w:szCs w:val="21"/>
                <w:highlight w:val="none"/>
              </w:rPr>
              <w:br w:type="textWrapping"/>
            </w:r>
            <w:r>
              <w:rPr>
                <w:rFonts w:hint="eastAsia" w:ascii="仿宋_GB2312" w:hAnsi="仿宋_GB2312" w:eastAsia="仿宋_GB2312" w:cs="仿宋_GB2312"/>
                <w:b/>
                <w:bCs/>
                <w:kern w:val="0"/>
                <w:sz w:val="21"/>
                <w:szCs w:val="21"/>
                <w:highlight w:val="none"/>
              </w:rPr>
              <w:t>（分）</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信用扣分</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有效期</w:t>
            </w:r>
            <w:r>
              <w:rPr>
                <w:rFonts w:hint="eastAsia" w:ascii="仿宋_GB2312" w:hAnsi="仿宋_GB2312" w:eastAsia="仿宋_GB2312" w:cs="仿宋_GB2312"/>
                <w:b/>
                <w:bCs/>
                <w:kern w:val="0"/>
                <w:sz w:val="21"/>
                <w:szCs w:val="21"/>
                <w:highlight w:val="none"/>
              </w:rPr>
              <w:br w:type="textWrapping"/>
            </w:r>
            <w:r>
              <w:rPr>
                <w:rFonts w:hint="eastAsia" w:ascii="仿宋_GB2312" w:hAnsi="仿宋_GB2312" w:eastAsia="仿宋_GB2312" w:cs="仿宋_GB2312"/>
                <w:b/>
                <w:bCs/>
                <w:kern w:val="0"/>
                <w:sz w:val="21"/>
                <w:szCs w:val="21"/>
                <w:highlight w:val="none"/>
              </w:rPr>
              <w:t>（月）</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信用信息</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公告期</w:t>
            </w:r>
            <w:r>
              <w:rPr>
                <w:rFonts w:hint="eastAsia" w:ascii="仿宋_GB2312" w:hAnsi="仿宋_GB2312" w:eastAsia="仿宋_GB2312" w:cs="仿宋_GB2312"/>
                <w:b/>
                <w:bCs/>
                <w:kern w:val="0"/>
                <w:sz w:val="21"/>
                <w:szCs w:val="21"/>
                <w:highlight w:val="none"/>
              </w:rPr>
              <w:br w:type="textWrapping"/>
            </w:r>
            <w:r>
              <w:rPr>
                <w:rFonts w:hint="eastAsia" w:ascii="仿宋_GB2312" w:hAnsi="仿宋_GB2312" w:eastAsia="仿宋_GB2312" w:cs="仿宋_GB2312"/>
                <w:b/>
                <w:bCs/>
                <w:kern w:val="0"/>
                <w:sz w:val="21"/>
                <w:szCs w:val="21"/>
                <w:highlight w:val="none"/>
              </w:rPr>
              <w:t>（月）</w:t>
            </w:r>
          </w:p>
        </w:tc>
      </w:tr>
      <w:tr>
        <w:tblPrEx>
          <w:tblLayout w:type="fixed"/>
          <w:tblCellMar>
            <w:top w:w="15" w:type="dxa"/>
            <w:left w:w="15" w:type="dxa"/>
            <w:bottom w:w="15" w:type="dxa"/>
            <w:right w:w="15" w:type="dxa"/>
          </w:tblCellMar>
        </w:tblPrEx>
        <w:trPr>
          <w:trHeight w:val="705" w:hRule="atLeast"/>
          <w:jc w:val="center"/>
        </w:trPr>
        <w:tc>
          <w:tcPr>
            <w:tcW w:w="76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w:t>
            </w:r>
          </w:p>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程序</w:t>
            </w:r>
          </w:p>
        </w:tc>
        <w:tc>
          <w:tcPr>
            <w:tcW w:w="71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w:t>
            </w:r>
          </w:p>
        </w:tc>
        <w:tc>
          <w:tcPr>
            <w:tcW w:w="551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将建设工程发包给不具有相应资质等级的勘察、设计、施工单位或者委托给不具有相应资质等级的工程监理单位</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auto"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《建设工程质量管理条例》第五十四条</w:t>
            </w:r>
            <w:r>
              <w:rPr>
                <w:rStyle w:val="8"/>
                <w:rFonts w:hint="eastAsia" w:ascii="仿宋_GB2312" w:hAnsi="仿宋_GB2312" w:eastAsia="仿宋_GB2312" w:cs="仿宋_GB2312"/>
                <w:color w:val="auto"/>
                <w:sz w:val="21"/>
                <w:szCs w:val="21"/>
                <w:highlight w:val="none"/>
              </w:rPr>
              <w:t xml:space="preserve"> </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责令改正，处</w:t>
            </w:r>
            <w:r>
              <w:rPr>
                <w:rStyle w:val="8"/>
                <w:rFonts w:hint="eastAsia" w:ascii="仿宋_GB2312" w:hAnsi="仿宋_GB2312" w:eastAsia="仿宋_GB2312" w:cs="仿宋_GB2312"/>
                <w:color w:val="auto"/>
                <w:sz w:val="21"/>
                <w:szCs w:val="21"/>
                <w:highlight w:val="none"/>
              </w:rPr>
              <w:t>50</w:t>
            </w:r>
            <w:r>
              <w:rPr>
                <w:rStyle w:val="9"/>
                <w:rFonts w:hint="eastAsia" w:ascii="仿宋_GB2312" w:hAnsi="仿宋_GB2312" w:eastAsia="仿宋_GB2312" w:cs="仿宋_GB2312"/>
                <w:color w:val="auto"/>
                <w:sz w:val="21"/>
                <w:szCs w:val="21"/>
                <w:highlight w:val="none"/>
              </w:rPr>
              <w:t>万元以上</w:t>
            </w:r>
            <w:r>
              <w:rPr>
                <w:rStyle w:val="8"/>
                <w:rFonts w:hint="eastAsia" w:ascii="仿宋_GB2312" w:hAnsi="仿宋_GB2312" w:eastAsia="仿宋_GB2312" w:cs="仿宋_GB2312"/>
                <w:color w:val="auto"/>
                <w:sz w:val="21"/>
                <w:szCs w:val="21"/>
                <w:highlight w:val="none"/>
              </w:rPr>
              <w:t>100</w:t>
            </w:r>
            <w:r>
              <w:rPr>
                <w:rStyle w:val="9"/>
                <w:rFonts w:hint="eastAsia" w:ascii="仿宋_GB2312" w:hAnsi="仿宋_GB2312" w:eastAsia="仿宋_GB2312" w:cs="仿宋_GB2312"/>
                <w:color w:val="auto"/>
                <w:sz w:val="21"/>
                <w:szCs w:val="21"/>
                <w:highlight w:val="none"/>
              </w:rPr>
              <w:t>万元以下的罚款。</w:t>
            </w:r>
          </w:p>
        </w:tc>
        <w:tc>
          <w:tcPr>
            <w:tcW w:w="1772" w:type="dxa"/>
            <w:tcBorders>
              <w:top w:val="single" w:color="000000" w:sz="4" w:space="0"/>
              <w:left w:val="single" w:color="000000" w:sz="4" w:space="0"/>
              <w:bottom w:val="single" w:color="auto"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严重</w:t>
            </w:r>
          </w:p>
        </w:tc>
        <w:tc>
          <w:tcPr>
            <w:tcW w:w="1134" w:type="dxa"/>
            <w:tcBorders>
              <w:top w:val="single" w:color="000000" w:sz="4" w:space="0"/>
              <w:left w:val="single" w:color="000000" w:sz="4" w:space="0"/>
              <w:bottom w:val="single" w:color="auto"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w:t>
            </w:r>
          </w:p>
        </w:tc>
        <w:tc>
          <w:tcPr>
            <w:tcW w:w="1134" w:type="dxa"/>
            <w:tcBorders>
              <w:top w:val="single" w:color="000000" w:sz="4" w:space="0"/>
              <w:left w:val="single" w:color="000000" w:sz="4" w:space="0"/>
              <w:bottom w:val="single" w:color="auto"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w:t>
            </w:r>
          </w:p>
        </w:tc>
        <w:tc>
          <w:tcPr>
            <w:tcW w:w="1134" w:type="dxa"/>
            <w:tcBorders>
              <w:top w:val="single" w:color="000000" w:sz="4" w:space="0"/>
              <w:left w:val="single" w:color="000000" w:sz="4" w:space="0"/>
              <w:bottom w:val="single" w:color="auto"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w:t>
            </w:r>
          </w:p>
        </w:tc>
      </w:tr>
      <w:tr>
        <w:tblPrEx>
          <w:tblLayout w:type="fixed"/>
          <w:tblCellMar>
            <w:top w:w="15" w:type="dxa"/>
            <w:left w:w="15" w:type="dxa"/>
            <w:bottom w:w="15" w:type="dxa"/>
            <w:right w:w="15" w:type="dxa"/>
          </w:tblCellMar>
        </w:tblPrEx>
        <w:trPr>
          <w:trHeight w:val="657" w:hRule="atLeast"/>
          <w:jc w:val="center"/>
        </w:trPr>
        <w:tc>
          <w:tcPr>
            <w:tcW w:w="7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w:t>
            </w:r>
          </w:p>
        </w:tc>
        <w:tc>
          <w:tcPr>
            <w:tcW w:w="551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建设项目必须实行工程监理而未实行工程监理</w:t>
            </w:r>
            <w:r>
              <w:rPr>
                <w:rFonts w:hint="eastAsia" w:ascii="仿宋_GB2312" w:hAnsi="仿宋_GB2312" w:eastAsia="仿宋_GB2312" w:cs="仿宋_GB2312"/>
                <w:kern w:val="0"/>
                <w:sz w:val="21"/>
                <w:szCs w:val="21"/>
                <w:highlight w:val="none"/>
                <w:lang w:eastAsia="zh-CN"/>
              </w:rPr>
              <w:t>。</w:t>
            </w:r>
          </w:p>
        </w:tc>
        <w:tc>
          <w:tcPr>
            <w:tcW w:w="5049" w:type="dxa"/>
            <w:vMerge w:val="restart"/>
            <w:tcBorders>
              <w:top w:val="single" w:color="000000" w:sz="4" w:space="0"/>
              <w:left w:val="single" w:color="auto"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《建设工程质量管理条例》第五十六条</w:t>
            </w:r>
          </w:p>
        </w:tc>
        <w:tc>
          <w:tcPr>
            <w:tcW w:w="3948" w:type="dxa"/>
            <w:vMerge w:val="restart"/>
            <w:tcBorders>
              <w:top w:val="single" w:color="000000" w:sz="4" w:space="0"/>
              <w:left w:val="single" w:color="000000" w:sz="4" w:space="0"/>
              <w:right w:val="single" w:color="auto"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责令改正，处</w:t>
            </w:r>
            <w:r>
              <w:rPr>
                <w:rStyle w:val="8"/>
                <w:rFonts w:hint="eastAsia" w:ascii="仿宋_GB2312" w:hAnsi="仿宋_GB2312" w:eastAsia="仿宋_GB2312" w:cs="仿宋_GB2312"/>
                <w:color w:val="auto"/>
                <w:sz w:val="21"/>
                <w:szCs w:val="21"/>
                <w:highlight w:val="none"/>
              </w:rPr>
              <w:t>20</w:t>
            </w:r>
            <w:r>
              <w:rPr>
                <w:rStyle w:val="9"/>
                <w:rFonts w:hint="eastAsia" w:ascii="仿宋_GB2312" w:hAnsi="仿宋_GB2312" w:eastAsia="仿宋_GB2312" w:cs="仿宋_GB2312"/>
                <w:color w:val="auto"/>
                <w:sz w:val="21"/>
                <w:szCs w:val="21"/>
                <w:highlight w:val="none"/>
              </w:rPr>
              <w:t>万元以上</w:t>
            </w:r>
            <w:r>
              <w:rPr>
                <w:rStyle w:val="8"/>
                <w:rFonts w:hint="eastAsia" w:ascii="仿宋_GB2312" w:hAnsi="仿宋_GB2312" w:eastAsia="仿宋_GB2312" w:cs="仿宋_GB2312"/>
                <w:color w:val="auto"/>
                <w:sz w:val="21"/>
                <w:szCs w:val="21"/>
                <w:highlight w:val="none"/>
              </w:rPr>
              <w:t>50</w:t>
            </w:r>
            <w:r>
              <w:rPr>
                <w:rStyle w:val="9"/>
                <w:rFonts w:hint="eastAsia" w:ascii="仿宋_GB2312" w:hAnsi="仿宋_GB2312" w:eastAsia="仿宋_GB2312" w:cs="仿宋_GB2312"/>
                <w:color w:val="auto"/>
                <w:sz w:val="21"/>
                <w:szCs w:val="21"/>
                <w:highlight w:val="none"/>
              </w:rPr>
              <w:t>万元以下的罚款。</w:t>
            </w:r>
          </w:p>
        </w:tc>
        <w:tc>
          <w:tcPr>
            <w:tcW w:w="1772" w:type="dxa"/>
            <w:vMerge w:val="restart"/>
            <w:tcBorders>
              <w:top w:val="single" w:color="auto" w:sz="4" w:space="0"/>
              <w:left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一般</w:t>
            </w:r>
          </w:p>
        </w:tc>
        <w:tc>
          <w:tcPr>
            <w:tcW w:w="1134" w:type="dxa"/>
            <w:vMerge w:val="restart"/>
            <w:tcBorders>
              <w:top w:val="single" w:color="auto" w:sz="4" w:space="0"/>
              <w:left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4</w:t>
            </w:r>
          </w:p>
        </w:tc>
        <w:tc>
          <w:tcPr>
            <w:tcW w:w="1134" w:type="dxa"/>
            <w:vMerge w:val="restart"/>
            <w:tcBorders>
              <w:top w:val="single" w:color="auto" w:sz="4" w:space="0"/>
              <w:left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w:t>
            </w:r>
          </w:p>
        </w:tc>
        <w:tc>
          <w:tcPr>
            <w:tcW w:w="1134" w:type="dxa"/>
            <w:vMerge w:val="restart"/>
            <w:tcBorders>
              <w:top w:val="single" w:color="auto" w:sz="4" w:space="0"/>
              <w:left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w:t>
            </w:r>
          </w:p>
        </w:tc>
      </w:tr>
      <w:tr>
        <w:tblPrEx>
          <w:tblLayout w:type="fixed"/>
          <w:tblCellMar>
            <w:top w:w="15" w:type="dxa"/>
            <w:left w:w="15" w:type="dxa"/>
            <w:bottom w:w="15" w:type="dxa"/>
            <w:right w:w="15" w:type="dxa"/>
          </w:tblCellMar>
        </w:tblPrEx>
        <w:trPr>
          <w:trHeight w:val="688" w:hRule="atLeast"/>
          <w:jc w:val="center"/>
        </w:trPr>
        <w:tc>
          <w:tcPr>
            <w:tcW w:w="7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3</w:t>
            </w:r>
          </w:p>
        </w:tc>
        <w:tc>
          <w:tcPr>
            <w:tcW w:w="551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未按照国家规定办理工程质量监督手续</w:t>
            </w:r>
            <w:r>
              <w:rPr>
                <w:rFonts w:hint="eastAsia" w:ascii="仿宋_GB2312" w:hAnsi="仿宋_GB2312" w:eastAsia="仿宋_GB2312" w:cs="仿宋_GB2312"/>
                <w:kern w:val="0"/>
                <w:sz w:val="21"/>
                <w:szCs w:val="21"/>
                <w:highlight w:val="none"/>
                <w:lang w:eastAsia="zh-CN"/>
              </w:rPr>
              <w:t>。</w:t>
            </w:r>
          </w:p>
        </w:tc>
        <w:tc>
          <w:tcPr>
            <w:tcW w:w="5049" w:type="dxa"/>
            <w:vMerge w:val="continue"/>
            <w:tcBorders>
              <w:left w:val="single" w:color="auto"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p>
        </w:tc>
        <w:tc>
          <w:tcPr>
            <w:tcW w:w="3948" w:type="dxa"/>
            <w:vMerge w:val="continue"/>
            <w:tcBorders>
              <w:left w:val="single" w:color="000000" w:sz="4" w:space="0"/>
              <w:right w:val="single" w:color="auto"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p>
        </w:tc>
        <w:tc>
          <w:tcPr>
            <w:tcW w:w="1772" w:type="dxa"/>
            <w:vMerge w:val="continue"/>
            <w:tcBorders>
              <w:left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p>
        </w:tc>
      </w:tr>
      <w:tr>
        <w:tblPrEx>
          <w:tblLayout w:type="fixed"/>
          <w:tblCellMar>
            <w:top w:w="15" w:type="dxa"/>
            <w:left w:w="15" w:type="dxa"/>
            <w:bottom w:w="15" w:type="dxa"/>
            <w:right w:w="15" w:type="dxa"/>
          </w:tblCellMar>
        </w:tblPrEx>
        <w:trPr>
          <w:trHeight w:val="752" w:hRule="atLeast"/>
          <w:jc w:val="center"/>
        </w:trPr>
        <w:tc>
          <w:tcPr>
            <w:tcW w:w="7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4</w:t>
            </w:r>
          </w:p>
        </w:tc>
        <w:tc>
          <w:tcPr>
            <w:tcW w:w="551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未按照国家规定将竣工验收报告、有关认可文件或者准许使用文件报送备案</w:t>
            </w:r>
            <w:r>
              <w:rPr>
                <w:rFonts w:hint="eastAsia" w:ascii="仿宋_GB2312" w:hAnsi="仿宋_GB2312" w:eastAsia="仿宋_GB2312" w:cs="仿宋_GB2312"/>
                <w:kern w:val="0"/>
                <w:sz w:val="21"/>
                <w:szCs w:val="21"/>
                <w:highlight w:val="none"/>
                <w:lang w:eastAsia="zh-CN"/>
              </w:rPr>
              <w:t>。</w:t>
            </w:r>
          </w:p>
        </w:tc>
        <w:tc>
          <w:tcPr>
            <w:tcW w:w="5049" w:type="dxa"/>
            <w:vMerge w:val="continue"/>
            <w:tcBorders>
              <w:left w:val="single" w:color="auto"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p>
        </w:tc>
        <w:tc>
          <w:tcPr>
            <w:tcW w:w="3948" w:type="dxa"/>
            <w:vMerge w:val="continue"/>
            <w:tcBorders>
              <w:left w:val="single" w:color="000000" w:sz="4" w:space="0"/>
              <w:bottom w:val="single" w:color="000000" w:sz="4" w:space="0"/>
              <w:right w:val="single" w:color="auto"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p>
        </w:tc>
        <w:tc>
          <w:tcPr>
            <w:tcW w:w="1772" w:type="dxa"/>
            <w:vMerge w:val="continue"/>
            <w:tcBorders>
              <w:left w:val="single" w:color="auto" w:sz="4" w:space="0"/>
              <w:bottom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p>
        </w:tc>
      </w:tr>
      <w:tr>
        <w:tblPrEx>
          <w:tblLayout w:type="fixed"/>
          <w:tblCellMar>
            <w:top w:w="15" w:type="dxa"/>
            <w:left w:w="15" w:type="dxa"/>
            <w:bottom w:w="15" w:type="dxa"/>
            <w:right w:w="15" w:type="dxa"/>
          </w:tblCellMar>
        </w:tblPrEx>
        <w:trPr>
          <w:trHeight w:val="1969" w:hRule="atLeast"/>
          <w:jc w:val="center"/>
        </w:trPr>
        <w:tc>
          <w:tcPr>
            <w:tcW w:w="7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5</w:t>
            </w:r>
          </w:p>
        </w:tc>
        <w:tc>
          <w:tcPr>
            <w:tcW w:w="551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工程不具备条件违规开工、开工后不按规定进行备案</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auto"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《关于取消和下放一批行政审批项目等事项的决定》（国发〔2013〕19号）</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《关于取消三项水利部行政许可项目的公告》（2013年第35号）</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《水利部关于水利工程开工审批取消后加强后续监管工作的通知》第五条</w:t>
            </w:r>
          </w:p>
          <w:p>
            <w:pPr>
              <w:snapToGrid w:val="0"/>
              <w:spacing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十三条</w:t>
            </w:r>
            <w:r>
              <w:rPr>
                <w:rStyle w:val="8"/>
                <w:rFonts w:hint="eastAsia" w:ascii="仿宋_GB2312" w:hAnsi="仿宋_GB2312" w:eastAsia="仿宋_GB2312" w:cs="仿宋_GB2312"/>
                <w:color w:val="auto"/>
                <w:sz w:val="21"/>
                <w:szCs w:val="21"/>
                <w:highlight w:val="none"/>
              </w:rPr>
              <w:t xml:space="preserve"> </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责令项目法人立即整改；构成重大质量安全隐患的，应责令其停工整改，并对项目法人给予通报批评。</w:t>
            </w:r>
          </w:p>
        </w:tc>
        <w:tc>
          <w:tcPr>
            <w:tcW w:w="1772" w:type="dxa"/>
            <w:tcBorders>
              <w:top w:val="single" w:color="auto"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轻微；一般</w:t>
            </w:r>
          </w:p>
        </w:tc>
        <w:tc>
          <w:tcPr>
            <w:tcW w:w="1134" w:type="dxa"/>
            <w:tcBorders>
              <w:top w:val="single" w:color="auto"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2～4</w:t>
            </w:r>
          </w:p>
        </w:tc>
        <w:tc>
          <w:tcPr>
            <w:tcW w:w="1134" w:type="dxa"/>
            <w:tcBorders>
              <w:top w:val="single" w:color="auto"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6～9</w:t>
            </w:r>
          </w:p>
        </w:tc>
        <w:tc>
          <w:tcPr>
            <w:tcW w:w="1134" w:type="dxa"/>
            <w:tcBorders>
              <w:top w:val="single" w:color="auto"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6～9</w:t>
            </w:r>
          </w:p>
        </w:tc>
      </w:tr>
      <w:tr>
        <w:tblPrEx>
          <w:tblLayout w:type="fixed"/>
          <w:tblCellMar>
            <w:top w:w="15" w:type="dxa"/>
            <w:left w:w="15" w:type="dxa"/>
            <w:bottom w:w="15" w:type="dxa"/>
            <w:right w:w="15" w:type="dxa"/>
          </w:tblCellMar>
        </w:tblPrEx>
        <w:trPr>
          <w:trHeight w:val="947" w:hRule="atLeast"/>
          <w:jc w:val="center"/>
        </w:trPr>
        <w:tc>
          <w:tcPr>
            <w:tcW w:w="7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w:t>
            </w:r>
          </w:p>
        </w:tc>
        <w:tc>
          <w:tcPr>
            <w:tcW w:w="551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违反规定，擅自变更或设计变更手续未完善即擅自进行施工</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auto"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《水利工程设计变更管理暂行办法》第二十条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应当责令改正，并提出追究相关责任单位和责任人责任的意见</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6～18</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15" w:type="dxa"/>
            <w:left w:w="15" w:type="dxa"/>
            <w:bottom w:w="15" w:type="dxa"/>
            <w:right w:w="15" w:type="dxa"/>
          </w:tblCellMar>
        </w:tblPrEx>
        <w:trPr>
          <w:trHeight w:val="927" w:hRule="atLeast"/>
          <w:jc w:val="center"/>
        </w:trPr>
        <w:tc>
          <w:tcPr>
            <w:tcW w:w="7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7</w:t>
            </w:r>
          </w:p>
        </w:tc>
        <w:tc>
          <w:tcPr>
            <w:tcW w:w="551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未组织竣工验收，擅自交付使用</w:t>
            </w:r>
            <w:r>
              <w:rPr>
                <w:rFonts w:hint="eastAsia" w:ascii="仿宋_GB2312" w:hAnsi="仿宋_GB2312" w:eastAsia="仿宋_GB2312" w:cs="仿宋_GB2312"/>
                <w:kern w:val="0"/>
                <w:sz w:val="21"/>
                <w:szCs w:val="21"/>
                <w:highlight w:val="none"/>
                <w:lang w:eastAsia="zh-CN"/>
              </w:rPr>
              <w:t>。</w:t>
            </w:r>
          </w:p>
        </w:tc>
        <w:tc>
          <w:tcPr>
            <w:tcW w:w="5049" w:type="dxa"/>
            <w:vMerge w:val="restart"/>
            <w:tcBorders>
              <w:top w:val="single" w:color="000000" w:sz="4" w:space="0"/>
              <w:left w:val="single" w:color="auto"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《建设工程质量管理条例》第五十八条</w:t>
            </w:r>
          </w:p>
        </w:tc>
        <w:tc>
          <w:tcPr>
            <w:tcW w:w="3948" w:type="dxa"/>
            <w:vMerge w:val="restart"/>
            <w:tcBorders>
              <w:top w:val="single" w:color="000000" w:sz="4" w:space="0"/>
              <w:left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责令改正，处工程合同价款</w:t>
            </w:r>
            <w:r>
              <w:rPr>
                <w:rStyle w:val="8"/>
                <w:rFonts w:hint="eastAsia" w:ascii="仿宋_GB2312" w:hAnsi="仿宋_GB2312" w:eastAsia="仿宋_GB2312" w:cs="仿宋_GB2312"/>
                <w:color w:val="auto"/>
                <w:sz w:val="21"/>
                <w:szCs w:val="21"/>
                <w:highlight w:val="none"/>
              </w:rPr>
              <w:t>2</w:t>
            </w:r>
            <w:r>
              <w:rPr>
                <w:rStyle w:val="9"/>
                <w:rFonts w:hint="eastAsia" w:ascii="仿宋_GB2312" w:hAnsi="仿宋_GB2312" w:eastAsia="仿宋_GB2312" w:cs="仿宋_GB2312"/>
                <w:color w:val="auto"/>
                <w:sz w:val="21"/>
                <w:szCs w:val="21"/>
                <w:highlight w:val="none"/>
              </w:rPr>
              <w:t>％以上</w:t>
            </w:r>
            <w:r>
              <w:rPr>
                <w:rStyle w:val="8"/>
                <w:rFonts w:hint="eastAsia" w:ascii="仿宋_GB2312" w:hAnsi="仿宋_GB2312" w:eastAsia="仿宋_GB2312" w:cs="仿宋_GB2312"/>
                <w:color w:val="auto"/>
                <w:sz w:val="21"/>
                <w:szCs w:val="21"/>
                <w:highlight w:val="none"/>
              </w:rPr>
              <w:t>4</w:t>
            </w:r>
            <w:r>
              <w:rPr>
                <w:rStyle w:val="9"/>
                <w:rFonts w:hint="eastAsia" w:ascii="仿宋_GB2312" w:hAnsi="仿宋_GB2312" w:eastAsia="仿宋_GB2312" w:cs="仿宋_GB2312"/>
                <w:color w:val="auto"/>
                <w:sz w:val="21"/>
                <w:szCs w:val="21"/>
                <w:highlight w:val="none"/>
              </w:rPr>
              <w:t>％以下的罚款；造成损失的，依法承担赔偿责任。</w:t>
            </w:r>
          </w:p>
        </w:tc>
        <w:tc>
          <w:tcPr>
            <w:tcW w:w="1772" w:type="dxa"/>
            <w:vMerge w:val="restart"/>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一般；严重；特别严重</w:t>
            </w:r>
          </w:p>
        </w:tc>
        <w:tc>
          <w:tcPr>
            <w:tcW w:w="1134" w:type="dxa"/>
            <w:vMerge w:val="restart"/>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4～10</w:t>
            </w:r>
          </w:p>
        </w:tc>
        <w:tc>
          <w:tcPr>
            <w:tcW w:w="1134" w:type="dxa"/>
            <w:vMerge w:val="restart"/>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9～18</w:t>
            </w:r>
          </w:p>
        </w:tc>
        <w:tc>
          <w:tcPr>
            <w:tcW w:w="1134" w:type="dxa"/>
            <w:vMerge w:val="restart"/>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9～18</w:t>
            </w:r>
          </w:p>
        </w:tc>
      </w:tr>
      <w:tr>
        <w:tblPrEx>
          <w:tblLayout w:type="fixed"/>
          <w:tblCellMar>
            <w:top w:w="15" w:type="dxa"/>
            <w:left w:w="15" w:type="dxa"/>
            <w:bottom w:w="15" w:type="dxa"/>
            <w:right w:w="15" w:type="dxa"/>
          </w:tblCellMar>
        </w:tblPrEx>
        <w:trPr>
          <w:trHeight w:val="915" w:hRule="atLeast"/>
          <w:jc w:val="center"/>
        </w:trPr>
        <w:tc>
          <w:tcPr>
            <w:tcW w:w="7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8</w:t>
            </w:r>
          </w:p>
        </w:tc>
        <w:tc>
          <w:tcPr>
            <w:tcW w:w="551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验收不合格，擅自交付使用</w:t>
            </w:r>
            <w:r>
              <w:rPr>
                <w:rFonts w:hint="eastAsia" w:ascii="仿宋_GB2312" w:hAnsi="仿宋_GB2312" w:eastAsia="仿宋_GB2312" w:cs="仿宋_GB2312"/>
                <w:kern w:val="0"/>
                <w:sz w:val="21"/>
                <w:szCs w:val="21"/>
                <w:highlight w:val="none"/>
                <w:lang w:eastAsia="zh-CN"/>
              </w:rPr>
              <w:t>。</w:t>
            </w:r>
          </w:p>
        </w:tc>
        <w:tc>
          <w:tcPr>
            <w:tcW w:w="5049" w:type="dxa"/>
            <w:vMerge w:val="continue"/>
            <w:tcBorders>
              <w:left w:val="single" w:color="auto"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p>
        </w:tc>
        <w:tc>
          <w:tcPr>
            <w:tcW w:w="3948" w:type="dxa"/>
            <w:vMerge w:val="continue"/>
            <w:tcBorders>
              <w:left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p>
        </w:tc>
        <w:tc>
          <w:tcPr>
            <w:tcW w:w="1772" w:type="dxa"/>
            <w:vMerge w:val="continue"/>
            <w:tcBorders>
              <w:left w:val="single" w:color="000000" w:sz="4" w:space="0"/>
              <w:bottom w:val="single" w:color="auto"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p>
        </w:tc>
        <w:tc>
          <w:tcPr>
            <w:tcW w:w="1134" w:type="dxa"/>
            <w:vMerge w:val="continue"/>
            <w:tcBorders>
              <w:left w:val="single" w:color="000000" w:sz="4" w:space="0"/>
              <w:bottom w:val="single" w:color="auto"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p>
        </w:tc>
        <w:tc>
          <w:tcPr>
            <w:tcW w:w="1134" w:type="dxa"/>
            <w:vMerge w:val="continue"/>
            <w:tcBorders>
              <w:left w:val="single" w:color="000000" w:sz="4" w:space="0"/>
              <w:bottom w:val="single" w:color="auto"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p>
        </w:tc>
        <w:tc>
          <w:tcPr>
            <w:tcW w:w="1134" w:type="dxa"/>
            <w:vMerge w:val="continue"/>
            <w:tcBorders>
              <w:left w:val="single" w:color="000000" w:sz="4" w:space="0"/>
              <w:bottom w:val="single" w:color="auto"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p>
        </w:tc>
      </w:tr>
      <w:tr>
        <w:tblPrEx>
          <w:tblLayout w:type="fixed"/>
          <w:tblCellMar>
            <w:top w:w="15" w:type="dxa"/>
            <w:left w:w="15" w:type="dxa"/>
            <w:bottom w:w="15" w:type="dxa"/>
            <w:right w:w="15" w:type="dxa"/>
          </w:tblCellMar>
        </w:tblPrEx>
        <w:trPr>
          <w:trHeight w:val="919" w:hRule="atLeast"/>
          <w:jc w:val="center"/>
        </w:trPr>
        <w:tc>
          <w:tcPr>
            <w:tcW w:w="7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w:t>
            </w:r>
          </w:p>
        </w:tc>
        <w:tc>
          <w:tcPr>
            <w:tcW w:w="551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建设工程竣工验收后，项目法人未向建设行政主管部门或者其他有关部门移交建设项目档案</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auto"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《建设工程质量管理条例》第五十九条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责令改正，处</w:t>
            </w:r>
            <w:r>
              <w:rPr>
                <w:rStyle w:val="8"/>
                <w:rFonts w:hint="eastAsia" w:ascii="仿宋_GB2312" w:hAnsi="仿宋_GB2312" w:eastAsia="仿宋_GB2312" w:cs="仿宋_GB2312"/>
                <w:color w:val="auto"/>
                <w:sz w:val="21"/>
                <w:szCs w:val="21"/>
                <w:highlight w:val="none"/>
              </w:rPr>
              <w:t>1</w:t>
            </w:r>
            <w:r>
              <w:rPr>
                <w:rStyle w:val="9"/>
                <w:rFonts w:hint="eastAsia" w:ascii="仿宋_GB2312" w:hAnsi="仿宋_GB2312" w:eastAsia="仿宋_GB2312" w:cs="仿宋_GB2312"/>
                <w:color w:val="auto"/>
                <w:sz w:val="21"/>
                <w:szCs w:val="21"/>
                <w:highlight w:val="none"/>
              </w:rPr>
              <w:t>万元以上</w:t>
            </w:r>
            <w:r>
              <w:rPr>
                <w:rStyle w:val="8"/>
                <w:rFonts w:hint="eastAsia" w:ascii="仿宋_GB2312" w:hAnsi="仿宋_GB2312" w:eastAsia="仿宋_GB2312" w:cs="仿宋_GB2312"/>
                <w:color w:val="auto"/>
                <w:sz w:val="21"/>
                <w:szCs w:val="21"/>
                <w:highlight w:val="none"/>
              </w:rPr>
              <w:t>10</w:t>
            </w:r>
            <w:r>
              <w:rPr>
                <w:rStyle w:val="9"/>
                <w:rFonts w:hint="eastAsia" w:ascii="仿宋_GB2312" w:hAnsi="仿宋_GB2312" w:eastAsia="仿宋_GB2312" w:cs="仿宋_GB2312"/>
                <w:color w:val="auto"/>
                <w:sz w:val="21"/>
                <w:szCs w:val="21"/>
                <w:highlight w:val="none"/>
              </w:rPr>
              <w:t>万元以下的罚款。</w:t>
            </w:r>
          </w:p>
        </w:tc>
        <w:tc>
          <w:tcPr>
            <w:tcW w:w="1772" w:type="dxa"/>
            <w:tcBorders>
              <w:top w:val="single" w:color="auto"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一般</w:t>
            </w:r>
          </w:p>
        </w:tc>
        <w:tc>
          <w:tcPr>
            <w:tcW w:w="1134" w:type="dxa"/>
            <w:tcBorders>
              <w:top w:val="single" w:color="auto"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4</w:t>
            </w:r>
          </w:p>
        </w:tc>
        <w:tc>
          <w:tcPr>
            <w:tcW w:w="1134" w:type="dxa"/>
            <w:tcBorders>
              <w:top w:val="single" w:color="auto"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w:t>
            </w:r>
          </w:p>
        </w:tc>
        <w:tc>
          <w:tcPr>
            <w:tcW w:w="1134" w:type="dxa"/>
            <w:tcBorders>
              <w:top w:val="single" w:color="auto"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w:t>
            </w:r>
          </w:p>
        </w:tc>
      </w:tr>
      <w:tr>
        <w:tblPrEx>
          <w:tblLayout w:type="fixed"/>
          <w:tblCellMar>
            <w:top w:w="15" w:type="dxa"/>
            <w:left w:w="15" w:type="dxa"/>
            <w:bottom w:w="15" w:type="dxa"/>
            <w:right w:w="15" w:type="dxa"/>
          </w:tblCellMar>
        </w:tblPrEx>
        <w:trPr>
          <w:trHeight w:val="897" w:hRule="atLeast"/>
          <w:jc w:val="center"/>
        </w:trPr>
        <w:tc>
          <w:tcPr>
            <w:tcW w:w="76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10</w:t>
            </w:r>
          </w:p>
        </w:tc>
        <w:tc>
          <w:tcPr>
            <w:tcW w:w="551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执行行政主管部门的审查审批文件不到位</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auto"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《建设工程勘察设计管理条例》第二十八条</w:t>
            </w:r>
          </w:p>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《水利工程建设程序管理暂行规定》第六条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rPr>
                <w:rFonts w:hint="eastAsia" w:ascii="仿宋_GB2312" w:hAnsi="仿宋_GB2312" w:eastAsia="仿宋_GB2312" w:cs="仿宋_GB2312"/>
                <w:sz w:val="21"/>
                <w:szCs w:val="21"/>
                <w:highlight w:val="none"/>
              </w:rPr>
            </w:pP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不予公告</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0</w:t>
            </w:r>
          </w:p>
        </w:tc>
      </w:tr>
      <w:tr>
        <w:tblPrEx>
          <w:tblLayout w:type="fixed"/>
          <w:tblCellMar>
            <w:top w:w="15" w:type="dxa"/>
            <w:left w:w="15" w:type="dxa"/>
            <w:bottom w:w="15" w:type="dxa"/>
            <w:right w:w="15" w:type="dxa"/>
          </w:tblCellMar>
        </w:tblPrEx>
        <w:trPr>
          <w:trHeight w:val="1468" w:hRule="atLeast"/>
          <w:jc w:val="center"/>
        </w:trPr>
        <w:tc>
          <w:tcPr>
            <w:tcW w:w="766" w:type="dxa"/>
            <w:vMerge w:val="restart"/>
            <w:tcBorders>
              <w:top w:val="single" w:color="auto"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w:t>
            </w:r>
          </w:p>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投标</w:t>
            </w:r>
          </w:p>
        </w:tc>
        <w:tc>
          <w:tcPr>
            <w:tcW w:w="712" w:type="dxa"/>
            <w:tcBorders>
              <w:top w:val="single" w:color="auto"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11</w:t>
            </w:r>
          </w:p>
        </w:tc>
        <w:tc>
          <w:tcPr>
            <w:tcW w:w="5516" w:type="dxa"/>
            <w:tcBorders>
              <w:top w:val="single" w:color="auto"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必须进行招标的项目而不招标；将必须进行招标的项目化整为零规避招标；依法必须进行招标的项目的招标人不按照规定发布资格预审公告或者招标公告，构成规避招标；以其他任何方式规避招标</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《招标投标法》第四十九条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《招标投标法实施条例》第六十三条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《工程建设项目施工招标投标办法》第六十八条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严重；特别严重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12～18</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12～18</w:t>
            </w:r>
          </w:p>
        </w:tc>
      </w:tr>
      <w:tr>
        <w:tblPrEx>
          <w:tblLayout w:type="fixed"/>
          <w:tblCellMar>
            <w:top w:w="15" w:type="dxa"/>
            <w:left w:w="15" w:type="dxa"/>
            <w:bottom w:w="15" w:type="dxa"/>
            <w:right w:w="15" w:type="dxa"/>
          </w:tblCellMar>
        </w:tblPrEx>
        <w:trPr>
          <w:trHeight w:val="3426"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以不合理的条件限制或者排斥潜在投标人（包括但不限于：1.就同一招标项目向潜在投标人或者投标人提供有差别的项目信息；2.设定的资格、技术、商务条件与招标项目的具体特点和实际需要不相适应或者与合同履行无关；3.依法必须进行招标的项目以特定行政区域或者特定行业的业绩、奖项作为加分条件或者中标条件；4.对潜在投标人或者投标人采取不同的资格审查或者评标标准；5.限定或者指定特定的专利、商标、品牌、原产地或者供应商；6.依法必须进行招标的项目非法限定潜在投标人或者投标人的所有制形式或者组织形式；7.以其他不合理条件限制、排斥潜在投标人或者投标人），或者对潜在投标人实行歧视待遇的，或者强制要求投标人组成联合体共同投标的，或者限制投标人之间竞争</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《招标投标法》第五十一条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《招标投标法实施条例》第三十二条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《工程建设项目施工招标投标办法》第七十条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《工程建设项目勘察设计招标投标办法》第五十三条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《招标公告和公示信息发布管理办法》第十八条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责令改正，可以处一万元以上五万元以下的罚款。</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轻微；一般</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2～4</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6～9</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6～9</w:t>
            </w:r>
          </w:p>
        </w:tc>
      </w:tr>
      <w:tr>
        <w:tblPrEx>
          <w:tblLayout w:type="fixed"/>
          <w:tblCellMar>
            <w:top w:w="15" w:type="dxa"/>
            <w:left w:w="15" w:type="dxa"/>
            <w:bottom w:w="15" w:type="dxa"/>
            <w:right w:w="15" w:type="dxa"/>
          </w:tblCellMar>
        </w:tblPrEx>
        <w:trPr>
          <w:trHeight w:val="1807"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13</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依法必须进行招标的项目的招标人向他人透露已获取招标文件的潜在投标人的名称、数量或者可能影响公平竞争的有关招标投标的其他情况，或者泄露标底</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《招标投标法》第五十二条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《工程建设项目施工招标投标办法》第七十一条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给予警告，可以并处一万元以上十万元以下的罚款；对单位直接负责的主管人员和其他直接责任人员依法给予处分；构成犯罪的，依法追究刑事责任；影响中标结果的，中标无效。</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严重；特别严重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12～18</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12～18</w:t>
            </w:r>
          </w:p>
        </w:tc>
      </w:tr>
      <w:tr>
        <w:tblPrEx>
          <w:tblLayout w:type="fixed"/>
          <w:tblCellMar>
            <w:top w:w="15" w:type="dxa"/>
            <w:left w:w="15" w:type="dxa"/>
            <w:bottom w:w="15" w:type="dxa"/>
            <w:right w:w="15" w:type="dxa"/>
          </w:tblCellMar>
        </w:tblPrEx>
        <w:trPr>
          <w:trHeight w:val="5325"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14</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人与投标人串通投标（包括但不限于：1.招标人在开标前开启投标文件并将有关信息泄露给其他投标人；2.招标人直接或者间接向投标人泄露标底、评标委员会成员等信息；3.招标人明示或者暗示投标人压低或者抬高投标报价；4.招标人授意投标人撤换、修改投标文件；5.招标人明示或者暗示投标人为特定投标人中标提供方便；6.招标人与投标人为谋求特定投标人中标而采取的其他串通行为。7.招标人协助资格预审申请人或者投标人对其资格预审申请文件或者投标文件进行撤换、修改；8.招标人直接或者间接向投标人或者投标人的利害关系人泄露获取资格预审文件或者通过资格预审的申请人的名称、数量或者资格审查情况，泄露获取招标文件的潜在投标人的名称、数量或者评标等情况；9.招标人以胁迫、劝退、利诱等方式，使特定投标人以外的其他投标人放弃投标或者中标人放弃中标。）</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《招标投标法》第五十三条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《招标投标法实施条例》第四十一条、第六十七条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中标无效；构成犯罪的，依法追究刑事责任；尚不构成犯罪的，依照招标投标法第五十三条的规定处罚（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给他人造成损失的，依法承担赔偿责任。）。投标人未中标的，对单位的罚款金额按照招标项目合同金额依照招标投标法规定的比例计算。</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投标人自本条第二款（情节严重情形）规定的处罚执行期限届满之日起3年内又有该款所列违法行为之一的，或者串通投标、以行贿谋取中标情节特别严重的，由工商行政管理机关吊销营业执照。</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w:t>
            </w:r>
          </w:p>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（符合规定的，列入严重失信主体名单处理）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18</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15" w:type="dxa"/>
            <w:left w:w="15" w:type="dxa"/>
            <w:bottom w:w="15" w:type="dxa"/>
            <w:right w:w="15" w:type="dxa"/>
          </w:tblCellMar>
        </w:tblPrEx>
        <w:trPr>
          <w:trHeight w:val="1025"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15</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依法必须进行招标的项目，违法与投标人就投标价格、投标方案等实质性内容进行谈判</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《招标投标法》第五十五条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《工程建设项目施工招标投标办法》第七十六条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有关行政监督部门给予警告，对单位直接负责的主管人员和其他直接责任人员依法给予处分；影响中标结果的，中标无效。</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w:t>
            </w:r>
          </w:p>
        </w:tc>
      </w:tr>
      <w:tr>
        <w:tblPrEx>
          <w:tblLayout w:type="fixed"/>
          <w:tblCellMar>
            <w:top w:w="15" w:type="dxa"/>
            <w:left w:w="15" w:type="dxa"/>
            <w:bottom w:w="15" w:type="dxa"/>
            <w:right w:w="15" w:type="dxa"/>
          </w:tblCellMar>
        </w:tblPrEx>
        <w:trPr>
          <w:trHeight w:val="1365"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16</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在评标委员会依法推荐的中标候选人以外确定中标人的，依法必须进行招标的项目在所有投标被评标委员会否决后自行确定中标人</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《招标投标法》第五十七条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中标无效，责令改正，可以处中标项目金额千分之五以上千分之十以下的罚款；对单位直接负责的主管人员和其他直接责任人员依法给予处分。</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严重；特别严重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12～18</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12～18</w:t>
            </w:r>
          </w:p>
        </w:tc>
      </w:tr>
      <w:tr>
        <w:tblPrEx>
          <w:tblLayout w:type="fixed"/>
          <w:tblCellMar>
            <w:top w:w="15" w:type="dxa"/>
            <w:left w:w="15" w:type="dxa"/>
            <w:bottom w:w="15" w:type="dxa"/>
            <w:right w:w="15" w:type="dxa"/>
          </w:tblCellMar>
        </w:tblPrEx>
        <w:trPr>
          <w:trHeight w:val="599"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17</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迫使承包方以低于成本的价格竞标</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《建设工程质量管理条例》第五十六条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责令改正，处</w:t>
            </w:r>
            <w:r>
              <w:rPr>
                <w:rStyle w:val="8"/>
                <w:rFonts w:hint="eastAsia" w:ascii="仿宋_GB2312" w:hAnsi="仿宋_GB2312" w:eastAsia="仿宋_GB2312" w:cs="仿宋_GB2312"/>
                <w:color w:val="auto"/>
                <w:sz w:val="21"/>
                <w:szCs w:val="21"/>
                <w:highlight w:val="none"/>
              </w:rPr>
              <w:t>20</w:t>
            </w:r>
            <w:r>
              <w:rPr>
                <w:rStyle w:val="9"/>
                <w:rFonts w:hint="eastAsia" w:ascii="仿宋_GB2312" w:hAnsi="仿宋_GB2312" w:eastAsia="仿宋_GB2312" w:cs="仿宋_GB2312"/>
                <w:color w:val="auto"/>
                <w:sz w:val="21"/>
                <w:szCs w:val="21"/>
                <w:highlight w:val="none"/>
              </w:rPr>
              <w:t>万元以上</w:t>
            </w:r>
            <w:r>
              <w:rPr>
                <w:rStyle w:val="8"/>
                <w:rFonts w:hint="eastAsia" w:ascii="仿宋_GB2312" w:hAnsi="仿宋_GB2312" w:eastAsia="仿宋_GB2312" w:cs="仿宋_GB2312"/>
                <w:color w:val="auto"/>
                <w:sz w:val="21"/>
                <w:szCs w:val="21"/>
                <w:highlight w:val="none"/>
              </w:rPr>
              <w:t>50</w:t>
            </w:r>
            <w:r>
              <w:rPr>
                <w:rStyle w:val="9"/>
                <w:rFonts w:hint="eastAsia" w:ascii="仿宋_GB2312" w:hAnsi="仿宋_GB2312" w:eastAsia="仿宋_GB2312" w:cs="仿宋_GB2312"/>
                <w:color w:val="auto"/>
                <w:sz w:val="21"/>
                <w:szCs w:val="21"/>
                <w:highlight w:val="none"/>
              </w:rPr>
              <w:t>万元以下的罚款。</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一般</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4</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w:t>
            </w:r>
          </w:p>
        </w:tc>
      </w:tr>
      <w:tr>
        <w:tblPrEx>
          <w:tblLayout w:type="fixed"/>
          <w:tblCellMar>
            <w:top w:w="15" w:type="dxa"/>
            <w:left w:w="15" w:type="dxa"/>
            <w:bottom w:w="15" w:type="dxa"/>
            <w:right w:w="15" w:type="dxa"/>
          </w:tblCellMar>
        </w:tblPrEx>
        <w:trPr>
          <w:trHeight w:val="1425"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18</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非因不可抗力原因，在发布招标公告、发出投标邀请书或者发售资格预审文件或招标文件后终止招标</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《工程建设项目施工招标投标办法》第七十二条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《工程建设项目勘察设计招标投标办法》第二十条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及时退还所收取的资格预审文件、招标文件的费用，以及所收取的投标保证金及银行同期存款利息。给潜在投标人或者投标人造成损失的，应当赔偿损失。</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不予公告</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0</w:t>
            </w:r>
          </w:p>
        </w:tc>
      </w:tr>
      <w:tr>
        <w:tblPrEx>
          <w:tblLayout w:type="fixed"/>
          <w:tblCellMar>
            <w:top w:w="15" w:type="dxa"/>
            <w:left w:w="15" w:type="dxa"/>
            <w:bottom w:w="15" w:type="dxa"/>
            <w:right w:w="15" w:type="dxa"/>
          </w:tblCellMar>
        </w:tblPrEx>
        <w:trPr>
          <w:trHeight w:val="3315"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19</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依法应当公告招标的项目不按照规定在指定媒介发布资格预审公告或者招标公告</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《招标投标法》第四十九条、第五十一条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《招标投标法实施条例》第六十三条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《工程建设项目施工招标投标办法》第七十三条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《工程建设项目勘察设计招标投标办法》第五十条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《工程建设项目货物招标投标办法》第五十五条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依照招标投标法第五十一条的规定处罚（责令改正，可以处一万元以上五万元以下的罚款）；其中，构成依法必须进行招标的项目的招标人规避招标的，依照招标投标法第四十九条的规定处罚（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6～18</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15" w:type="dxa"/>
            <w:left w:w="15" w:type="dxa"/>
            <w:bottom w:w="15" w:type="dxa"/>
            <w:right w:w="15" w:type="dxa"/>
          </w:tblCellMar>
        </w:tblPrEx>
        <w:trPr>
          <w:trHeight w:val="1613"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20</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在不同媒介发布的同一招标项目的资格预审公告或者招标公告的内容不一致，影响潜在投标人申请资格预审或者投标</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《招标投标法》第四十九条、第五十一条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《招标投标法实施条例》第六十三条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《工程建设项目施工招标投标办法》第七十三条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《工程建设项目勘察设计招标投标办法》第五十条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《工程建设项目货物招标投标办法》第五十五条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依照招标投标法第五十一条的规定处罚（责令改正，可以处一万元以上五万元以下的罚款）。</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轻微；一般</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2～4</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6～9</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6～9</w:t>
            </w:r>
          </w:p>
        </w:tc>
      </w:tr>
      <w:tr>
        <w:tblPrEx>
          <w:tblLayout w:type="fixed"/>
          <w:tblCellMar>
            <w:top w:w="15" w:type="dxa"/>
            <w:left w:w="15" w:type="dxa"/>
            <w:bottom w:w="15" w:type="dxa"/>
            <w:right w:w="15" w:type="dxa"/>
          </w:tblCellMar>
        </w:tblPrEx>
        <w:trPr>
          <w:trHeight w:val="1674"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21</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依法应当公告招标而采用邀请招标</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《招标投标法实施条例》第六十四条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《工程建设项目施工招标投标办法》第七十三条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《工程建设项目勘察设计招标投标办法》第五十一条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《工程建设项目货物招标投标办法》第五十六条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责令改正，可以处 10 万元以下的罚款。对单位直接负责的主管人员和其他直接责任人员依法给予处分。</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w:t>
            </w:r>
          </w:p>
        </w:tc>
      </w:tr>
      <w:tr>
        <w:tblPrEx>
          <w:tblLayout w:type="fixed"/>
          <w:tblCellMar>
            <w:top w:w="15" w:type="dxa"/>
            <w:left w:w="15" w:type="dxa"/>
            <w:bottom w:w="15" w:type="dxa"/>
            <w:right w:w="15" w:type="dxa"/>
          </w:tblCellMar>
        </w:tblPrEx>
        <w:trPr>
          <w:trHeight w:val="2082"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22</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招标文件、资格预审文件的发售、澄清、修改的时限，或者确定的提交资格预审申请文件、投标文件的时限不符合招标投标法和招标投标法实施条例规定</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《招标投标法》第二十三条、第二十四条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《招标投标法实施条例》第十六条、第十七条、第二十一条、第六十四条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《工程建设项目施工招标投标办法》第七十三条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《工程建设项目勘察设计招标投标办法》第五十一条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《工程建设项目货物招标投标办法》第五十六条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责令改正，可以处 10 万元以下的罚款。</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轻微；一般</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2～4</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6～9</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6～9</w:t>
            </w:r>
          </w:p>
        </w:tc>
      </w:tr>
      <w:tr>
        <w:tblPrEx>
          <w:tblLayout w:type="fixed"/>
          <w:tblCellMar>
            <w:top w:w="15" w:type="dxa"/>
            <w:left w:w="15" w:type="dxa"/>
            <w:bottom w:w="15" w:type="dxa"/>
            <w:right w:w="15" w:type="dxa"/>
          </w:tblCellMar>
        </w:tblPrEx>
        <w:trPr>
          <w:trHeight w:val="1373"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23</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接受未通过资格预审的单位或者个人参加投标</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《招标投标法实施条例》第六十四条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《工程建设项目施工招标投标办法》第七十三条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《工程建设项目勘察设计招标投标办法》第五十一条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《工程建设项目货物招标投标办法》第五十六条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责令改正，可以处 10 万元以下的罚款。对单位直接负责的主管人员和其他直接责任人员依法给予处分。</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w:t>
            </w:r>
          </w:p>
        </w:tc>
      </w:tr>
      <w:tr>
        <w:tblPrEx>
          <w:tblLayout w:type="fixed"/>
          <w:tblCellMar>
            <w:top w:w="15" w:type="dxa"/>
            <w:left w:w="15" w:type="dxa"/>
            <w:bottom w:w="15" w:type="dxa"/>
            <w:right w:w="15" w:type="dxa"/>
          </w:tblCellMar>
        </w:tblPrEx>
        <w:trPr>
          <w:trHeight w:val="1380"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24</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接受应当拒收的投标文件</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《招标投标法实施条例》第六十四条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《工程建设项目施工招标投标办法》第七十三条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《工程建设项目勘察设计招标投标办法》第五十一条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《工程建设项目货物招标投标办法》第五十六条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责令改正，可以处 10 万元以下的罚款。对单位直接负责的主管人员和其他直接责任人员依法给予处分。</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w:t>
            </w:r>
          </w:p>
        </w:tc>
      </w:tr>
      <w:tr>
        <w:tblPrEx>
          <w:tblLayout w:type="fixed"/>
          <w:tblCellMar>
            <w:top w:w="15" w:type="dxa"/>
            <w:left w:w="15" w:type="dxa"/>
            <w:bottom w:w="15" w:type="dxa"/>
            <w:right w:w="15" w:type="dxa"/>
          </w:tblCellMar>
        </w:tblPrEx>
        <w:trPr>
          <w:trHeight w:val="1599"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25</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依法必须进行招标的项目的招标人不按照规定组建评标委员会，或者确定、更换评标委员会成员违反招标投标法和招标投标法实施条例规定</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《招标投标法实施条例》第七十条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《工程建设项目施工招标投标办法》第七十九条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责令改正，可以处 10 万元以下的罚款，对单位直接负责的主管人员和其他直接责任人员依法给予处分；违法确定或者更换的评标委员会成员作出的评审决定无效，依法重新进行评审。</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w:t>
            </w:r>
          </w:p>
        </w:tc>
      </w:tr>
      <w:tr>
        <w:tblPrEx>
          <w:tblLayout w:type="fixed"/>
          <w:tblCellMar>
            <w:top w:w="15" w:type="dxa"/>
            <w:left w:w="15" w:type="dxa"/>
            <w:bottom w:w="15" w:type="dxa"/>
            <w:right w:w="15" w:type="dxa"/>
          </w:tblCellMar>
        </w:tblPrEx>
        <w:trPr>
          <w:trHeight w:val="90"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26</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依法必须进行招标的项目的招标人无正当理由不发出中标通知书；不按照规定确定中标人（包括但不限于：招标人在评标委员会依法推荐的中标候选人以外确定中标人，依法必须进行招标的项目在所有投标被评标委员会否决后自行确定中标人）；中标通知书发出后无正当理由改变中标结果；无正当理由不与中标人订立合同；在订立合同时向中标人提出附加条件</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《招标投标法实施条例》第七十三条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《工程建设项目施工招标投标办法》第八十条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《工程建设项目货物招标投标办法》第五十八条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中标无效，责令改正，可以处中标项目金额千分之十以下的罚款；给他人造成损失的，依法承担赔偿责任；对单位直接负责的主管人员和其他直接责任人员依法给予处分</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严重；特别严重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12～18</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12～18</w:t>
            </w:r>
          </w:p>
        </w:tc>
      </w:tr>
      <w:tr>
        <w:tblPrEx>
          <w:tblLayout w:type="fixed"/>
          <w:tblCellMar>
            <w:top w:w="15" w:type="dxa"/>
            <w:left w:w="15" w:type="dxa"/>
            <w:bottom w:w="15" w:type="dxa"/>
            <w:right w:w="15" w:type="dxa"/>
          </w:tblCellMar>
        </w:tblPrEx>
        <w:trPr>
          <w:trHeight w:val="1137"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27</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招标人和中标人不按照招标文件和中标人的投标文件订立合同；合同的主要条款与招标文件、中标人的投标文件的内容不一致；或者招标人、中标人订立背离合同实质性内容的协议</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《招标投标法》第五十九条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《招标投标法实施条例》第七十五条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《工程建设项目勘察设计招标投标办法》第五十五条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责令改正；可以处中标项目金额千分之五以上千分之十以下的罚款。</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6～18</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15" w:type="dxa"/>
            <w:left w:w="15" w:type="dxa"/>
            <w:bottom w:w="15" w:type="dxa"/>
            <w:right w:w="15" w:type="dxa"/>
          </w:tblCellMar>
        </w:tblPrEx>
        <w:trPr>
          <w:trHeight w:val="900"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28</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不按照规定对异议作出答复，继续进行招标投标活动</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《招标投标法实施条例》第七十七条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责令改正，拒不改正或者不能改正并影响中标结果的，招标、投标、中标无效，应当依法重新招标或者评标。</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轻微；一般；严重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2～6</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6～12</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6～12</w:t>
            </w:r>
          </w:p>
        </w:tc>
      </w:tr>
      <w:tr>
        <w:tblPrEx>
          <w:tblLayout w:type="fixed"/>
          <w:tblCellMar>
            <w:top w:w="15" w:type="dxa"/>
            <w:left w:w="15" w:type="dxa"/>
            <w:bottom w:w="15" w:type="dxa"/>
            <w:right w:w="15" w:type="dxa"/>
          </w:tblCellMar>
        </w:tblPrEx>
        <w:trPr>
          <w:trHeight w:val="729"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29</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超过有关规定的比例收取投标保证金、履约保证金或者不按照规定退还投标保证金及银行同期存款利息</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《招标投标法实施条例》第六十六条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责令改正，可以处5万元以下的罚款；给他人造成损失的，依法承担赔偿责任。</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轻微；一般</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2～4</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6～9</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6～9</w:t>
            </w:r>
          </w:p>
        </w:tc>
      </w:tr>
      <w:tr>
        <w:tblPrEx>
          <w:tblLayout w:type="fixed"/>
          <w:tblCellMar>
            <w:top w:w="15" w:type="dxa"/>
            <w:left w:w="15" w:type="dxa"/>
            <w:bottom w:w="15" w:type="dxa"/>
            <w:right w:w="15" w:type="dxa"/>
          </w:tblCellMar>
        </w:tblPrEx>
        <w:trPr>
          <w:trHeight w:val="1031"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30</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非因不可抗力，不履行与中标人订立的合同</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《工程建设项目施工招标投标办法》第八十五条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《工程建设项目货物招标投标办法》第五十九条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应当返还中标人的履约保证金，并承担相应的赔偿责任；没有提交履约保证金的，应当对中标人的损失承担赔偿责任</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轻微；一般；严重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2～6</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6～12</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6～12</w:t>
            </w:r>
          </w:p>
        </w:tc>
      </w:tr>
      <w:tr>
        <w:tblPrEx>
          <w:tblLayout w:type="fixed"/>
          <w:tblCellMar>
            <w:top w:w="15" w:type="dxa"/>
            <w:left w:w="15" w:type="dxa"/>
            <w:bottom w:w="15" w:type="dxa"/>
            <w:right w:w="15" w:type="dxa"/>
          </w:tblCellMar>
        </w:tblPrEx>
        <w:trPr>
          <w:trHeight w:val="811" w:hRule="atLeast"/>
          <w:jc w:val="center"/>
        </w:trPr>
        <w:tc>
          <w:tcPr>
            <w:tcW w:w="766"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质量</w:t>
            </w:r>
          </w:p>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安全</w:t>
            </w: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31</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明示或者暗示设计单位或者施工单位违反工程建设强制性标准，降低工程质量</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《建设工程质量管理条例》第五十六条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责令改正，处</w:t>
            </w:r>
            <w:r>
              <w:rPr>
                <w:rStyle w:val="8"/>
                <w:rFonts w:hint="eastAsia" w:ascii="仿宋_GB2312" w:hAnsi="仿宋_GB2312" w:eastAsia="仿宋_GB2312" w:cs="仿宋_GB2312"/>
                <w:color w:val="auto"/>
                <w:sz w:val="21"/>
                <w:szCs w:val="21"/>
                <w:highlight w:val="none"/>
              </w:rPr>
              <w:t>20</w:t>
            </w:r>
            <w:r>
              <w:rPr>
                <w:rStyle w:val="9"/>
                <w:rFonts w:hint="eastAsia" w:ascii="仿宋_GB2312" w:hAnsi="仿宋_GB2312" w:eastAsia="仿宋_GB2312" w:cs="仿宋_GB2312"/>
                <w:color w:val="auto"/>
                <w:sz w:val="21"/>
                <w:szCs w:val="21"/>
                <w:highlight w:val="none"/>
              </w:rPr>
              <w:t>万元以上</w:t>
            </w:r>
            <w:r>
              <w:rPr>
                <w:rStyle w:val="8"/>
                <w:rFonts w:hint="eastAsia" w:ascii="仿宋_GB2312" w:hAnsi="仿宋_GB2312" w:eastAsia="仿宋_GB2312" w:cs="仿宋_GB2312"/>
                <w:color w:val="auto"/>
                <w:sz w:val="21"/>
                <w:szCs w:val="21"/>
                <w:highlight w:val="none"/>
              </w:rPr>
              <w:t>50</w:t>
            </w:r>
            <w:r>
              <w:rPr>
                <w:rStyle w:val="9"/>
                <w:rFonts w:hint="eastAsia" w:ascii="仿宋_GB2312" w:hAnsi="仿宋_GB2312" w:eastAsia="仿宋_GB2312" w:cs="仿宋_GB2312"/>
                <w:color w:val="auto"/>
                <w:sz w:val="21"/>
                <w:szCs w:val="21"/>
                <w:highlight w:val="none"/>
              </w:rPr>
              <w:t>万元以下的罚款。</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一般</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4</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w:t>
            </w:r>
          </w:p>
        </w:tc>
      </w:tr>
      <w:tr>
        <w:tblPrEx>
          <w:tblLayout w:type="fixed"/>
          <w:tblCellMar>
            <w:top w:w="15" w:type="dxa"/>
            <w:left w:w="15" w:type="dxa"/>
            <w:bottom w:w="15" w:type="dxa"/>
            <w:right w:w="15" w:type="dxa"/>
          </w:tblCellMar>
        </w:tblPrEx>
        <w:trPr>
          <w:trHeight w:val="721"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32</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明示或者暗示施工单位使用不合格的建筑材料、建筑构配件和设备</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《建设工程质量管理条例》第五十六条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责令改正，处</w:t>
            </w:r>
            <w:r>
              <w:rPr>
                <w:rStyle w:val="8"/>
                <w:rFonts w:hint="eastAsia" w:ascii="仿宋_GB2312" w:hAnsi="仿宋_GB2312" w:eastAsia="仿宋_GB2312" w:cs="仿宋_GB2312"/>
                <w:color w:val="auto"/>
                <w:sz w:val="21"/>
                <w:szCs w:val="21"/>
                <w:highlight w:val="none"/>
              </w:rPr>
              <w:t>20</w:t>
            </w:r>
            <w:r>
              <w:rPr>
                <w:rStyle w:val="9"/>
                <w:rFonts w:hint="eastAsia" w:ascii="仿宋_GB2312" w:hAnsi="仿宋_GB2312" w:eastAsia="仿宋_GB2312" w:cs="仿宋_GB2312"/>
                <w:color w:val="auto"/>
                <w:sz w:val="21"/>
                <w:szCs w:val="21"/>
                <w:highlight w:val="none"/>
              </w:rPr>
              <w:t>万元以上</w:t>
            </w:r>
            <w:r>
              <w:rPr>
                <w:rStyle w:val="8"/>
                <w:rFonts w:hint="eastAsia" w:ascii="仿宋_GB2312" w:hAnsi="仿宋_GB2312" w:eastAsia="仿宋_GB2312" w:cs="仿宋_GB2312"/>
                <w:color w:val="auto"/>
                <w:sz w:val="21"/>
                <w:szCs w:val="21"/>
                <w:highlight w:val="none"/>
              </w:rPr>
              <w:t>50</w:t>
            </w:r>
            <w:r>
              <w:rPr>
                <w:rStyle w:val="9"/>
                <w:rFonts w:hint="eastAsia" w:ascii="仿宋_GB2312" w:hAnsi="仿宋_GB2312" w:eastAsia="仿宋_GB2312" w:cs="仿宋_GB2312"/>
                <w:color w:val="auto"/>
                <w:sz w:val="21"/>
                <w:szCs w:val="21"/>
                <w:highlight w:val="none"/>
              </w:rPr>
              <w:t>万元以下的罚款。</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一般</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4</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w:t>
            </w:r>
          </w:p>
        </w:tc>
      </w:tr>
      <w:tr>
        <w:tblPrEx>
          <w:tblLayout w:type="fixed"/>
          <w:tblCellMar>
            <w:top w:w="15" w:type="dxa"/>
            <w:left w:w="15" w:type="dxa"/>
            <w:bottom w:w="15" w:type="dxa"/>
            <w:right w:w="15" w:type="dxa"/>
          </w:tblCellMar>
        </w:tblPrEx>
        <w:trPr>
          <w:trHeight w:val="715"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33</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施工图设计文件未经审查或者审查不合格，擅自施工的。</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《建设工程质量管理条例》第五十</w:t>
            </w:r>
            <w:r>
              <w:rPr>
                <w:rFonts w:hint="eastAsia" w:ascii="仿宋_GB2312" w:hAnsi="仿宋_GB2312" w:eastAsia="仿宋_GB2312" w:cs="仿宋_GB2312"/>
                <w:kern w:val="0"/>
                <w:sz w:val="21"/>
                <w:szCs w:val="21"/>
                <w:highlight w:val="none"/>
                <w:lang w:val="en-US" w:eastAsia="zh-CN"/>
              </w:rPr>
              <w:t>六</w:t>
            </w:r>
            <w:r>
              <w:rPr>
                <w:rFonts w:hint="eastAsia" w:ascii="仿宋_GB2312" w:hAnsi="仿宋_GB2312" w:eastAsia="仿宋_GB2312" w:cs="仿宋_GB2312"/>
                <w:kern w:val="0"/>
                <w:sz w:val="21"/>
                <w:szCs w:val="21"/>
                <w:highlight w:val="none"/>
              </w:rPr>
              <w:t>条</w:t>
            </w:r>
          </w:p>
          <w:p>
            <w:pPr>
              <w:snapToGrid w:val="0"/>
              <w:spacing w:line="240" w:lineRule="auto"/>
              <w:jc w:val="left"/>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十五条、第六十条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责令改正，处</w:t>
            </w:r>
            <w:r>
              <w:rPr>
                <w:rStyle w:val="8"/>
                <w:rFonts w:hint="eastAsia" w:ascii="仿宋_GB2312" w:hAnsi="仿宋_GB2312" w:eastAsia="仿宋_GB2312" w:cs="仿宋_GB2312"/>
                <w:color w:val="auto"/>
                <w:sz w:val="21"/>
                <w:szCs w:val="21"/>
                <w:highlight w:val="none"/>
              </w:rPr>
              <w:t>20</w:t>
            </w:r>
            <w:r>
              <w:rPr>
                <w:rStyle w:val="9"/>
                <w:rFonts w:hint="eastAsia" w:ascii="仿宋_GB2312" w:hAnsi="仿宋_GB2312" w:eastAsia="仿宋_GB2312" w:cs="仿宋_GB2312"/>
                <w:color w:val="auto"/>
                <w:sz w:val="21"/>
                <w:szCs w:val="21"/>
                <w:highlight w:val="none"/>
              </w:rPr>
              <w:t>万元以上</w:t>
            </w:r>
            <w:r>
              <w:rPr>
                <w:rStyle w:val="8"/>
                <w:rFonts w:hint="eastAsia" w:ascii="仿宋_GB2312" w:hAnsi="仿宋_GB2312" w:eastAsia="仿宋_GB2312" w:cs="仿宋_GB2312"/>
                <w:color w:val="auto"/>
                <w:sz w:val="21"/>
                <w:szCs w:val="21"/>
                <w:highlight w:val="none"/>
              </w:rPr>
              <w:t>50</w:t>
            </w:r>
            <w:r>
              <w:rPr>
                <w:rStyle w:val="9"/>
                <w:rFonts w:hint="eastAsia" w:ascii="仿宋_GB2312" w:hAnsi="仿宋_GB2312" w:eastAsia="仿宋_GB2312" w:cs="仿宋_GB2312"/>
                <w:color w:val="auto"/>
                <w:sz w:val="21"/>
                <w:szCs w:val="21"/>
                <w:highlight w:val="none"/>
              </w:rPr>
              <w:t>万元以下的罚款。</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一般</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4</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9</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9</w:t>
            </w:r>
          </w:p>
        </w:tc>
      </w:tr>
      <w:tr>
        <w:tblPrEx>
          <w:tblLayout w:type="fixed"/>
          <w:tblCellMar>
            <w:top w:w="15" w:type="dxa"/>
            <w:left w:w="15" w:type="dxa"/>
            <w:bottom w:w="15" w:type="dxa"/>
            <w:right w:w="15" w:type="dxa"/>
          </w:tblCellMar>
        </w:tblPrEx>
        <w:trPr>
          <w:trHeight w:val="715"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34</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对不合格的建设工程按照合格工程验收</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《建设工程质量管理条例》第五十八条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责令改正，处工程合同价款</w:t>
            </w:r>
            <w:r>
              <w:rPr>
                <w:rStyle w:val="8"/>
                <w:rFonts w:hint="eastAsia" w:ascii="仿宋_GB2312" w:hAnsi="仿宋_GB2312" w:eastAsia="仿宋_GB2312" w:cs="仿宋_GB2312"/>
                <w:color w:val="auto"/>
                <w:sz w:val="21"/>
                <w:szCs w:val="21"/>
                <w:highlight w:val="none"/>
              </w:rPr>
              <w:t>2</w:t>
            </w:r>
            <w:r>
              <w:rPr>
                <w:rStyle w:val="9"/>
                <w:rFonts w:hint="eastAsia" w:ascii="仿宋_GB2312" w:hAnsi="仿宋_GB2312" w:eastAsia="仿宋_GB2312" w:cs="仿宋_GB2312"/>
                <w:color w:val="auto"/>
                <w:sz w:val="21"/>
                <w:szCs w:val="21"/>
                <w:highlight w:val="none"/>
              </w:rPr>
              <w:t>％以上</w:t>
            </w:r>
            <w:r>
              <w:rPr>
                <w:rStyle w:val="8"/>
                <w:rFonts w:hint="eastAsia" w:ascii="仿宋_GB2312" w:hAnsi="仿宋_GB2312" w:eastAsia="仿宋_GB2312" w:cs="仿宋_GB2312"/>
                <w:color w:val="auto"/>
                <w:sz w:val="21"/>
                <w:szCs w:val="21"/>
                <w:highlight w:val="none"/>
              </w:rPr>
              <w:t>4</w:t>
            </w:r>
            <w:r>
              <w:rPr>
                <w:rStyle w:val="9"/>
                <w:rFonts w:hint="eastAsia" w:ascii="仿宋_GB2312" w:hAnsi="仿宋_GB2312" w:eastAsia="仿宋_GB2312" w:cs="仿宋_GB2312"/>
                <w:color w:val="auto"/>
                <w:sz w:val="21"/>
                <w:szCs w:val="21"/>
                <w:highlight w:val="none"/>
              </w:rPr>
              <w:t>％以下的罚款；造成损失的，依法承担赔偿责任。</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一般；严重；特别严重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4～10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9～18</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9～18</w:t>
            </w:r>
          </w:p>
        </w:tc>
      </w:tr>
      <w:tr>
        <w:tblPrEx>
          <w:tblLayout w:type="fixed"/>
          <w:tblCellMar>
            <w:top w:w="15" w:type="dxa"/>
            <w:left w:w="15" w:type="dxa"/>
            <w:bottom w:w="15" w:type="dxa"/>
            <w:right w:w="15" w:type="dxa"/>
          </w:tblCellMar>
        </w:tblPrEx>
        <w:trPr>
          <w:trHeight w:val="622"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35</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与参建单位签订的合同文件中，</w:t>
            </w:r>
            <w:r>
              <w:rPr>
                <w:rFonts w:hint="eastAsia" w:ascii="仿宋_GB2312" w:hAnsi="仿宋_GB2312" w:eastAsia="仿宋_GB2312" w:cs="仿宋_GB2312"/>
                <w:kern w:val="0"/>
                <w:sz w:val="21"/>
                <w:szCs w:val="21"/>
                <w:highlight w:val="none"/>
                <w:lang w:val="en-US" w:eastAsia="zh-CN"/>
              </w:rPr>
              <w:t>未</w:t>
            </w:r>
            <w:r>
              <w:rPr>
                <w:rFonts w:hint="eastAsia" w:ascii="仿宋_GB2312" w:hAnsi="仿宋_GB2312" w:eastAsia="仿宋_GB2312" w:cs="仿宋_GB2312"/>
                <w:kern w:val="0"/>
                <w:sz w:val="21"/>
                <w:szCs w:val="21"/>
                <w:highlight w:val="none"/>
              </w:rPr>
              <w:t>包括工程质量条款，</w:t>
            </w:r>
            <w:r>
              <w:rPr>
                <w:rFonts w:hint="eastAsia" w:ascii="仿宋_GB2312" w:hAnsi="仿宋_GB2312" w:eastAsia="仿宋_GB2312" w:cs="仿宋_GB2312"/>
                <w:kern w:val="0"/>
                <w:sz w:val="21"/>
                <w:szCs w:val="21"/>
                <w:highlight w:val="none"/>
                <w:lang w:val="en-US" w:eastAsia="zh-CN"/>
              </w:rPr>
              <w:t>或者未</w:t>
            </w:r>
            <w:r>
              <w:rPr>
                <w:rFonts w:hint="eastAsia" w:ascii="仿宋_GB2312" w:hAnsi="仿宋_GB2312" w:eastAsia="仿宋_GB2312" w:cs="仿宋_GB2312"/>
                <w:kern w:val="0"/>
                <w:sz w:val="21"/>
                <w:szCs w:val="21"/>
                <w:highlight w:val="none"/>
              </w:rPr>
              <w:t>明确工程质量要求，</w:t>
            </w:r>
            <w:r>
              <w:rPr>
                <w:rFonts w:hint="eastAsia" w:ascii="仿宋_GB2312" w:hAnsi="仿宋_GB2312" w:eastAsia="仿宋_GB2312" w:cs="仿宋_GB2312"/>
                <w:kern w:val="0"/>
                <w:sz w:val="21"/>
                <w:szCs w:val="21"/>
                <w:highlight w:val="none"/>
                <w:lang w:val="en-US" w:eastAsia="zh-CN"/>
              </w:rPr>
              <w:t>或者未</w:t>
            </w:r>
            <w:r>
              <w:rPr>
                <w:rFonts w:hint="eastAsia" w:ascii="仿宋_GB2312" w:hAnsi="仿宋_GB2312" w:eastAsia="仿宋_GB2312" w:cs="仿宋_GB2312"/>
                <w:kern w:val="0"/>
                <w:sz w:val="21"/>
                <w:szCs w:val="21"/>
                <w:highlight w:val="none"/>
              </w:rPr>
              <w:t>约定合同各方的质量责任</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十一条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责令改正</w:t>
            </w:r>
            <w:r>
              <w:rPr>
                <w:rFonts w:hint="eastAsia" w:ascii="仿宋_GB2312" w:hAnsi="仿宋_GB2312" w:eastAsia="仿宋_GB2312" w:cs="仿宋_GB2312"/>
                <w:kern w:val="0"/>
                <w:sz w:val="21"/>
                <w:szCs w:val="21"/>
                <w:highlight w:val="none"/>
                <w:lang w:eastAsia="zh-CN"/>
              </w:rPr>
              <w:t>。</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轻微</w:t>
            </w:r>
            <w:r>
              <w:rPr>
                <w:rFonts w:hint="eastAsia" w:ascii="仿宋_GB2312" w:hAnsi="仿宋_GB2312" w:eastAsia="仿宋_GB2312" w:cs="仿宋_GB2312"/>
                <w:kern w:val="0"/>
                <w:sz w:val="21"/>
                <w:szCs w:val="21"/>
                <w:highlight w:val="none"/>
              </w:rPr>
              <w:t>（不予行政处理的不予公告）</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6</w:t>
            </w:r>
          </w:p>
        </w:tc>
      </w:tr>
      <w:tr>
        <w:tblPrEx>
          <w:tblLayout w:type="fixed"/>
          <w:tblCellMar>
            <w:top w:w="15" w:type="dxa"/>
            <w:left w:w="15" w:type="dxa"/>
            <w:bottom w:w="15" w:type="dxa"/>
            <w:right w:w="15" w:type="dxa"/>
          </w:tblCellMar>
        </w:tblPrEx>
        <w:trPr>
          <w:trHeight w:val="622"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36</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办理工程质量监督及开工备案手续时，未书面明确各参建单位项目负责人和技术负责人。</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十三条</w:t>
            </w:r>
            <w:r>
              <w:rPr>
                <w:rStyle w:val="8"/>
                <w:rFonts w:hint="eastAsia" w:ascii="仿宋_GB2312" w:hAnsi="仿宋_GB2312" w:eastAsia="仿宋_GB2312" w:cs="仿宋_GB2312"/>
                <w:color w:val="auto"/>
                <w:sz w:val="21"/>
                <w:szCs w:val="21"/>
                <w:highlight w:val="none"/>
              </w:rPr>
              <w:t xml:space="preserve"> </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责令改正</w:t>
            </w:r>
            <w:r>
              <w:rPr>
                <w:rFonts w:hint="eastAsia" w:ascii="仿宋_GB2312" w:hAnsi="仿宋_GB2312" w:eastAsia="仿宋_GB2312" w:cs="仿宋_GB2312"/>
                <w:kern w:val="0"/>
                <w:sz w:val="21"/>
                <w:szCs w:val="21"/>
                <w:highlight w:val="none"/>
                <w:lang w:eastAsia="zh-CN"/>
              </w:rPr>
              <w:t>。</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轻微</w:t>
            </w:r>
            <w:r>
              <w:rPr>
                <w:rFonts w:hint="eastAsia" w:ascii="仿宋_GB2312" w:hAnsi="仿宋_GB2312" w:eastAsia="仿宋_GB2312" w:cs="仿宋_GB2312"/>
                <w:kern w:val="0"/>
                <w:sz w:val="21"/>
                <w:szCs w:val="21"/>
                <w:highlight w:val="none"/>
              </w:rPr>
              <w:t>（不予行政处理的不予公告）</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6</w:t>
            </w:r>
          </w:p>
        </w:tc>
      </w:tr>
      <w:tr>
        <w:tblPrEx>
          <w:tblLayout w:type="fixed"/>
          <w:tblCellMar>
            <w:top w:w="15" w:type="dxa"/>
            <w:left w:w="15" w:type="dxa"/>
            <w:bottom w:w="15" w:type="dxa"/>
            <w:right w:w="15" w:type="dxa"/>
          </w:tblCellMar>
        </w:tblPrEx>
        <w:trPr>
          <w:trHeight w:val="622"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37</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未</w:t>
            </w:r>
            <w:r>
              <w:rPr>
                <w:rFonts w:hint="eastAsia" w:ascii="仿宋_GB2312" w:hAnsi="仿宋_GB2312" w:eastAsia="仿宋_GB2312" w:cs="仿宋_GB2312"/>
                <w:kern w:val="0"/>
                <w:sz w:val="21"/>
                <w:szCs w:val="21"/>
                <w:highlight w:val="none"/>
              </w:rPr>
              <w:t>组织编制工程建设执行技术标准清单，</w:t>
            </w:r>
            <w:r>
              <w:rPr>
                <w:rFonts w:hint="eastAsia" w:ascii="仿宋_GB2312" w:hAnsi="仿宋_GB2312" w:eastAsia="仿宋_GB2312" w:cs="仿宋_GB2312"/>
                <w:kern w:val="0"/>
                <w:sz w:val="21"/>
                <w:szCs w:val="21"/>
                <w:highlight w:val="none"/>
                <w:lang w:val="en-US" w:eastAsia="zh-CN"/>
              </w:rPr>
              <w:t>未</w:t>
            </w:r>
            <w:r>
              <w:rPr>
                <w:rFonts w:hint="eastAsia" w:ascii="仿宋_GB2312" w:hAnsi="仿宋_GB2312" w:eastAsia="仿宋_GB2312" w:cs="仿宋_GB2312"/>
                <w:kern w:val="0"/>
                <w:sz w:val="21"/>
                <w:szCs w:val="21"/>
                <w:highlight w:val="none"/>
              </w:rPr>
              <w:t>明确工程建设质量标准</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十四条、第五十六条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w:t>
            </w:r>
            <w:r>
              <w:rPr>
                <w:rFonts w:hint="eastAsia" w:ascii="仿宋_GB2312" w:hAnsi="仿宋_GB2312" w:eastAsia="仿宋_GB2312" w:cs="仿宋_GB2312"/>
                <w:kern w:val="0"/>
                <w:sz w:val="21"/>
                <w:szCs w:val="21"/>
                <w:highlight w:val="none"/>
                <w:lang w:eastAsia="zh-CN"/>
              </w:rPr>
              <w:t>。</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轻微</w:t>
            </w:r>
            <w:r>
              <w:rPr>
                <w:rFonts w:hint="eastAsia" w:ascii="仿宋_GB2312" w:hAnsi="仿宋_GB2312" w:eastAsia="仿宋_GB2312" w:cs="仿宋_GB2312"/>
                <w:kern w:val="0"/>
                <w:sz w:val="21"/>
                <w:szCs w:val="21"/>
                <w:highlight w:val="none"/>
              </w:rPr>
              <w:t>（不予行政处理的不予公告）</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6</w:t>
            </w:r>
          </w:p>
        </w:tc>
      </w:tr>
      <w:tr>
        <w:tblPrEx>
          <w:tblLayout w:type="fixed"/>
          <w:tblCellMar>
            <w:top w:w="15" w:type="dxa"/>
            <w:left w:w="15" w:type="dxa"/>
            <w:bottom w:w="15" w:type="dxa"/>
            <w:right w:w="15" w:type="dxa"/>
          </w:tblCellMar>
        </w:tblPrEx>
        <w:trPr>
          <w:trHeight w:val="622"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38</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未组织或者委托监理单位组织有关参建单位进行勘察、设计交底。</w:t>
            </w:r>
          </w:p>
        </w:tc>
        <w:tc>
          <w:tcPr>
            <w:tcW w:w="5049" w:type="dxa"/>
            <w:tcBorders>
              <w:top w:val="single" w:color="000000" w:sz="4" w:space="0"/>
              <w:left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val="en-US"/>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十五条、第五十六条</w:t>
            </w:r>
          </w:p>
        </w:tc>
        <w:tc>
          <w:tcPr>
            <w:tcW w:w="3948" w:type="dxa"/>
            <w:tcBorders>
              <w:top w:val="single" w:color="000000" w:sz="4" w:space="0"/>
              <w:left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w:t>
            </w:r>
            <w:r>
              <w:rPr>
                <w:rFonts w:hint="eastAsia" w:ascii="仿宋_GB2312" w:hAnsi="仿宋_GB2312" w:eastAsia="仿宋_GB2312" w:cs="仿宋_GB2312"/>
                <w:kern w:val="0"/>
                <w:sz w:val="21"/>
                <w:szCs w:val="21"/>
                <w:highlight w:val="none"/>
                <w:lang w:eastAsia="zh-CN"/>
              </w:rPr>
              <w:t>。</w:t>
            </w:r>
          </w:p>
        </w:tc>
        <w:tc>
          <w:tcPr>
            <w:tcW w:w="1772" w:type="dxa"/>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轻微</w:t>
            </w:r>
            <w:r>
              <w:rPr>
                <w:rFonts w:hint="eastAsia" w:ascii="仿宋_GB2312" w:hAnsi="仿宋_GB2312" w:eastAsia="仿宋_GB2312" w:cs="仿宋_GB2312"/>
                <w:kern w:val="0"/>
                <w:sz w:val="21"/>
                <w:szCs w:val="21"/>
                <w:highlight w:val="none"/>
              </w:rPr>
              <w:t>（不予行政处理的不予公告）</w:t>
            </w:r>
          </w:p>
        </w:tc>
        <w:tc>
          <w:tcPr>
            <w:tcW w:w="1134" w:type="dxa"/>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2</w:t>
            </w:r>
          </w:p>
        </w:tc>
        <w:tc>
          <w:tcPr>
            <w:tcW w:w="1134" w:type="dxa"/>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6</w:t>
            </w:r>
          </w:p>
        </w:tc>
        <w:tc>
          <w:tcPr>
            <w:tcW w:w="1134" w:type="dxa"/>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6</w:t>
            </w:r>
          </w:p>
        </w:tc>
      </w:tr>
      <w:tr>
        <w:tblPrEx>
          <w:tblLayout w:type="fixed"/>
          <w:tblCellMar>
            <w:top w:w="15" w:type="dxa"/>
            <w:left w:w="15" w:type="dxa"/>
            <w:bottom w:w="15" w:type="dxa"/>
            <w:right w:w="15" w:type="dxa"/>
          </w:tblCellMar>
        </w:tblPrEx>
        <w:trPr>
          <w:trHeight w:val="622"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39</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未按照规定履行设计变更程序，或者设计变更未经审查同意擅自实施。</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十五条、第五十六条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w:t>
            </w:r>
            <w:r>
              <w:rPr>
                <w:rFonts w:hint="eastAsia" w:ascii="仿宋_GB2312" w:hAnsi="仿宋_GB2312" w:eastAsia="仿宋_GB2312" w:cs="仿宋_GB2312"/>
                <w:kern w:val="0"/>
                <w:sz w:val="21"/>
                <w:szCs w:val="21"/>
                <w:highlight w:val="none"/>
                <w:lang w:eastAsia="zh-CN"/>
              </w:rPr>
              <w:t>。</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一般；严重；特别严重（符合规定的，列入严重失信主体名单处理）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4～10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9～18</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9～18</w:t>
            </w:r>
          </w:p>
        </w:tc>
      </w:tr>
      <w:tr>
        <w:tblPrEx>
          <w:tblLayout w:type="fixed"/>
          <w:tblCellMar>
            <w:top w:w="15" w:type="dxa"/>
            <w:left w:w="15" w:type="dxa"/>
            <w:bottom w:w="15" w:type="dxa"/>
            <w:right w:w="15" w:type="dxa"/>
          </w:tblCellMar>
        </w:tblPrEx>
        <w:trPr>
          <w:trHeight w:val="622"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40</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val="en-US" w:eastAsia="zh-CN"/>
              </w:rPr>
              <w:t>未</w:t>
            </w:r>
            <w:r>
              <w:rPr>
                <w:rFonts w:hint="eastAsia" w:ascii="仿宋_GB2312" w:hAnsi="仿宋_GB2312" w:eastAsia="仿宋_GB2312" w:cs="仿宋_GB2312"/>
                <w:kern w:val="0"/>
                <w:sz w:val="21"/>
                <w:szCs w:val="21"/>
                <w:highlight w:val="none"/>
              </w:rPr>
              <w:t>对参建单位的质量行为和工程实体质量进行检查，</w:t>
            </w:r>
            <w:r>
              <w:rPr>
                <w:rFonts w:hint="eastAsia" w:ascii="仿宋_GB2312" w:hAnsi="仿宋_GB2312" w:eastAsia="仿宋_GB2312" w:cs="仿宋_GB2312"/>
                <w:kern w:val="0"/>
                <w:sz w:val="21"/>
                <w:szCs w:val="21"/>
                <w:highlight w:val="none"/>
                <w:lang w:val="en-US" w:eastAsia="zh-CN"/>
              </w:rPr>
              <w:t>或者未</w:t>
            </w:r>
            <w:r>
              <w:rPr>
                <w:rFonts w:hint="eastAsia" w:ascii="仿宋_GB2312" w:hAnsi="仿宋_GB2312" w:eastAsia="仿宋_GB2312" w:cs="仿宋_GB2312"/>
                <w:kern w:val="0"/>
                <w:sz w:val="21"/>
                <w:szCs w:val="21"/>
                <w:highlight w:val="none"/>
              </w:rPr>
              <w:t>对发现的问题组织责任单位进行整改落实</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十七条、第五十六条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w:t>
            </w:r>
            <w:r>
              <w:rPr>
                <w:rFonts w:hint="eastAsia" w:ascii="仿宋_GB2312" w:hAnsi="仿宋_GB2312" w:eastAsia="仿宋_GB2312" w:cs="仿宋_GB2312"/>
                <w:kern w:val="0"/>
                <w:sz w:val="21"/>
                <w:szCs w:val="21"/>
                <w:highlight w:val="none"/>
                <w:lang w:eastAsia="zh-CN"/>
              </w:rPr>
              <w:t>。</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val="en-US" w:eastAsia="zh-CN"/>
              </w:rPr>
              <w:t>轻微</w:t>
            </w:r>
            <w:r>
              <w:rPr>
                <w:rFonts w:hint="eastAsia" w:ascii="仿宋_GB2312" w:hAnsi="仿宋_GB2312" w:eastAsia="仿宋_GB2312" w:cs="仿宋_GB2312"/>
                <w:kern w:val="0"/>
                <w:sz w:val="21"/>
                <w:szCs w:val="21"/>
                <w:highlight w:val="none"/>
              </w:rPr>
              <w:t>（不予行政处理的不予公告）</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val="en-US" w:eastAsia="zh-CN"/>
              </w:rPr>
              <w:t>6</w:t>
            </w:r>
          </w:p>
        </w:tc>
      </w:tr>
      <w:tr>
        <w:tblPrEx>
          <w:tblLayout w:type="fixed"/>
          <w:tblCellMar>
            <w:top w:w="15" w:type="dxa"/>
            <w:left w:w="15" w:type="dxa"/>
            <w:bottom w:w="15" w:type="dxa"/>
            <w:right w:w="15" w:type="dxa"/>
          </w:tblCellMar>
        </w:tblPrEx>
        <w:trPr>
          <w:trHeight w:val="1215"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41</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val="en-US" w:eastAsia="zh-CN"/>
              </w:rPr>
              <w:t>未将</w:t>
            </w:r>
            <w:r>
              <w:rPr>
                <w:rFonts w:hint="eastAsia" w:ascii="仿宋_GB2312" w:hAnsi="仿宋_GB2312" w:eastAsia="仿宋_GB2312" w:cs="仿宋_GB2312"/>
                <w:kern w:val="0"/>
                <w:sz w:val="21"/>
                <w:szCs w:val="21"/>
                <w:highlight w:val="none"/>
              </w:rPr>
              <w:t>严重违规行为和质量事故及时报告具有管辖权的水行政主管部门或者流域管理机构</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十七条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予以通报批评或其他纪律处理。</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一般；严重；特别严重（符合规定的，列入严重失信主体名单处理）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4～10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9～18</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9～18</w:t>
            </w:r>
          </w:p>
        </w:tc>
      </w:tr>
      <w:tr>
        <w:tblPrEx>
          <w:tblLayout w:type="fixed"/>
          <w:tblCellMar>
            <w:top w:w="15" w:type="dxa"/>
            <w:left w:w="15" w:type="dxa"/>
            <w:bottom w:w="15" w:type="dxa"/>
            <w:right w:w="15" w:type="dxa"/>
          </w:tblCellMar>
        </w:tblPrEx>
        <w:trPr>
          <w:trHeight w:val="847"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42</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工程开工后，</w:t>
            </w:r>
            <w:r>
              <w:rPr>
                <w:rFonts w:hint="eastAsia" w:ascii="仿宋_GB2312" w:hAnsi="仿宋_GB2312" w:eastAsia="仿宋_GB2312" w:cs="仿宋_GB2312"/>
                <w:kern w:val="0"/>
                <w:sz w:val="21"/>
                <w:szCs w:val="21"/>
                <w:highlight w:val="none"/>
                <w:lang w:val="en-US" w:eastAsia="zh-CN"/>
              </w:rPr>
              <w:t>未</w:t>
            </w:r>
            <w:r>
              <w:rPr>
                <w:rFonts w:hint="eastAsia" w:ascii="仿宋_GB2312" w:hAnsi="仿宋_GB2312" w:eastAsia="仿宋_GB2312" w:cs="仿宋_GB2312"/>
                <w:kern w:val="0"/>
                <w:sz w:val="21"/>
                <w:szCs w:val="21"/>
                <w:highlight w:val="none"/>
              </w:rPr>
              <w:t>在工程施工现场明显部位设立质量责任公示牌，</w:t>
            </w:r>
            <w:r>
              <w:rPr>
                <w:rFonts w:hint="eastAsia" w:ascii="仿宋_GB2312" w:hAnsi="仿宋_GB2312" w:eastAsia="仿宋_GB2312" w:cs="仿宋_GB2312"/>
                <w:kern w:val="0"/>
                <w:sz w:val="21"/>
                <w:szCs w:val="21"/>
                <w:highlight w:val="none"/>
                <w:lang w:val="en-US" w:eastAsia="zh-CN"/>
              </w:rPr>
              <w:t>或者未</w:t>
            </w:r>
            <w:r>
              <w:rPr>
                <w:rFonts w:hint="eastAsia" w:ascii="仿宋_GB2312" w:hAnsi="仿宋_GB2312" w:eastAsia="仿宋_GB2312" w:cs="仿宋_GB2312"/>
                <w:kern w:val="0"/>
                <w:sz w:val="21"/>
                <w:szCs w:val="21"/>
                <w:highlight w:val="none"/>
              </w:rPr>
              <w:t>公示项目法人、勘察、设计、施工、监理等参建单位的名称、项目负责人姓名以及质量举报电话</w:t>
            </w:r>
            <w:r>
              <w:rPr>
                <w:rFonts w:hint="eastAsia" w:ascii="仿宋_GB2312" w:hAnsi="仿宋_GB2312" w:eastAsia="仿宋_GB2312" w:cs="仿宋_GB2312"/>
                <w:kern w:val="0"/>
                <w:sz w:val="21"/>
                <w:szCs w:val="21"/>
                <w:highlight w:val="none"/>
                <w:lang w:eastAsia="zh-CN"/>
              </w:rPr>
              <w:t>。</w:t>
            </w:r>
          </w:p>
        </w:tc>
        <w:tc>
          <w:tcPr>
            <w:tcW w:w="5049" w:type="dxa"/>
            <w:vMerge w:val="restart"/>
            <w:tcBorders>
              <w:top w:val="single" w:color="000000" w:sz="4" w:space="0"/>
              <w:left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十八条</w:t>
            </w:r>
          </w:p>
        </w:tc>
        <w:tc>
          <w:tcPr>
            <w:tcW w:w="3948" w:type="dxa"/>
            <w:vMerge w:val="restart"/>
            <w:tcBorders>
              <w:top w:val="single" w:color="000000" w:sz="4" w:space="0"/>
              <w:left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责令改正</w:t>
            </w:r>
            <w:r>
              <w:rPr>
                <w:rFonts w:hint="eastAsia" w:ascii="仿宋_GB2312" w:hAnsi="仿宋_GB2312" w:eastAsia="仿宋_GB2312" w:cs="仿宋_GB2312"/>
                <w:kern w:val="0"/>
                <w:sz w:val="21"/>
                <w:szCs w:val="21"/>
                <w:highlight w:val="none"/>
                <w:lang w:eastAsia="zh-CN"/>
              </w:rPr>
              <w:t>。</w:t>
            </w:r>
          </w:p>
        </w:tc>
        <w:tc>
          <w:tcPr>
            <w:tcW w:w="1772" w:type="dxa"/>
            <w:vMerge w:val="restart"/>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轻微</w:t>
            </w:r>
            <w:r>
              <w:rPr>
                <w:rFonts w:hint="eastAsia" w:ascii="仿宋_GB2312" w:hAnsi="仿宋_GB2312" w:eastAsia="仿宋_GB2312" w:cs="仿宋_GB2312"/>
                <w:kern w:val="0"/>
                <w:sz w:val="21"/>
                <w:szCs w:val="21"/>
                <w:highlight w:val="none"/>
              </w:rPr>
              <w:t>（不予行政处理的不予公告）</w:t>
            </w:r>
          </w:p>
        </w:tc>
        <w:tc>
          <w:tcPr>
            <w:tcW w:w="1134" w:type="dxa"/>
            <w:vMerge w:val="restart"/>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2</w:t>
            </w:r>
          </w:p>
        </w:tc>
        <w:tc>
          <w:tcPr>
            <w:tcW w:w="1134" w:type="dxa"/>
            <w:vMerge w:val="restart"/>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6</w:t>
            </w:r>
          </w:p>
        </w:tc>
        <w:tc>
          <w:tcPr>
            <w:tcW w:w="1134" w:type="dxa"/>
            <w:vMerge w:val="restart"/>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6</w:t>
            </w:r>
          </w:p>
        </w:tc>
      </w:tr>
      <w:tr>
        <w:tblPrEx>
          <w:tblLayout w:type="fixed"/>
          <w:tblCellMar>
            <w:top w:w="15" w:type="dxa"/>
            <w:left w:w="15" w:type="dxa"/>
            <w:bottom w:w="15" w:type="dxa"/>
            <w:right w:w="15" w:type="dxa"/>
          </w:tblCellMar>
        </w:tblPrEx>
        <w:trPr>
          <w:trHeight w:val="957"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43</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工程竣工验收后，</w:t>
            </w:r>
            <w:r>
              <w:rPr>
                <w:rFonts w:hint="eastAsia" w:ascii="仿宋_GB2312" w:hAnsi="仿宋_GB2312" w:eastAsia="仿宋_GB2312" w:cs="仿宋_GB2312"/>
                <w:kern w:val="0"/>
                <w:sz w:val="21"/>
                <w:szCs w:val="21"/>
                <w:highlight w:val="none"/>
                <w:lang w:val="en-US" w:eastAsia="zh-CN"/>
              </w:rPr>
              <w:t>未</w:t>
            </w:r>
            <w:r>
              <w:rPr>
                <w:rFonts w:hint="eastAsia" w:ascii="仿宋_GB2312" w:hAnsi="仿宋_GB2312" w:eastAsia="仿宋_GB2312" w:cs="仿宋_GB2312"/>
                <w:kern w:val="0"/>
                <w:sz w:val="21"/>
                <w:szCs w:val="21"/>
                <w:highlight w:val="none"/>
              </w:rPr>
              <w:t>在工程明显部位设置永久性标志，</w:t>
            </w:r>
            <w:r>
              <w:rPr>
                <w:rFonts w:hint="eastAsia" w:ascii="仿宋_GB2312" w:hAnsi="仿宋_GB2312" w:eastAsia="仿宋_GB2312" w:cs="仿宋_GB2312"/>
                <w:kern w:val="0"/>
                <w:sz w:val="21"/>
                <w:szCs w:val="21"/>
                <w:highlight w:val="none"/>
                <w:lang w:val="en-US" w:eastAsia="zh-CN"/>
              </w:rPr>
              <w:t>或者未</w:t>
            </w:r>
            <w:r>
              <w:rPr>
                <w:rFonts w:hint="eastAsia" w:ascii="仿宋_GB2312" w:hAnsi="仿宋_GB2312" w:eastAsia="仿宋_GB2312" w:cs="仿宋_GB2312"/>
                <w:kern w:val="0"/>
                <w:sz w:val="21"/>
                <w:szCs w:val="21"/>
                <w:highlight w:val="none"/>
              </w:rPr>
              <w:t>载明项目法人、勘察、设计、施工、监理等参建单位名称、项目负责人姓名</w:t>
            </w:r>
            <w:r>
              <w:rPr>
                <w:rFonts w:hint="eastAsia" w:ascii="仿宋_GB2312" w:hAnsi="仿宋_GB2312" w:eastAsia="仿宋_GB2312" w:cs="仿宋_GB2312"/>
                <w:kern w:val="0"/>
                <w:sz w:val="21"/>
                <w:szCs w:val="21"/>
                <w:highlight w:val="none"/>
                <w:lang w:eastAsia="zh-CN"/>
              </w:rPr>
              <w:t>。</w:t>
            </w:r>
          </w:p>
        </w:tc>
        <w:tc>
          <w:tcPr>
            <w:tcW w:w="5049" w:type="dxa"/>
            <w:vMerge w:val="continue"/>
            <w:tcBorders>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p>
        </w:tc>
        <w:tc>
          <w:tcPr>
            <w:tcW w:w="3948" w:type="dxa"/>
            <w:vMerge w:val="continue"/>
            <w:tcBorders>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p>
        </w:tc>
        <w:tc>
          <w:tcPr>
            <w:tcW w:w="1772" w:type="dxa"/>
            <w:vMerge w:val="continue"/>
            <w:tcBorders>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c>
          <w:tcPr>
            <w:tcW w:w="1134" w:type="dxa"/>
            <w:vMerge w:val="continue"/>
            <w:tcBorders>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c>
          <w:tcPr>
            <w:tcW w:w="1134" w:type="dxa"/>
            <w:vMerge w:val="continue"/>
            <w:tcBorders>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c>
          <w:tcPr>
            <w:tcW w:w="1134" w:type="dxa"/>
            <w:vMerge w:val="continue"/>
            <w:tcBorders>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r>
      <w:tr>
        <w:tblPrEx>
          <w:tblLayout w:type="fixed"/>
          <w:tblCellMar>
            <w:top w:w="15" w:type="dxa"/>
            <w:left w:w="15" w:type="dxa"/>
            <w:bottom w:w="15" w:type="dxa"/>
            <w:right w:w="15" w:type="dxa"/>
          </w:tblCellMar>
        </w:tblPrEx>
        <w:trPr>
          <w:trHeight w:val="1324"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44</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由于项目法人责任酿成质量事故</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《水利工程质量事故处理暂行规定》第三十一条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令其立即整改；造成较大以上质量事故的，进行通报批评、调整项目法人；对有关责任人处以行政处分；构成犯罪的，移送司法机关依法处理。</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严重；特别严重（符合规定的，列入严重失信主体名单处理）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6～18</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15" w:type="dxa"/>
            <w:left w:w="15" w:type="dxa"/>
            <w:bottom w:w="15" w:type="dxa"/>
            <w:right w:w="15" w:type="dxa"/>
          </w:tblCellMar>
        </w:tblPrEx>
        <w:trPr>
          <w:trHeight w:val="2400"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45</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将生产经营项目、场所、设备发包或者出租给不具备安全生产条件或者相应资质的单位或者个人</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《安全生产法》第一百零六条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6～18</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15" w:type="dxa"/>
            <w:left w:w="15" w:type="dxa"/>
            <w:bottom w:w="15" w:type="dxa"/>
            <w:right w:w="15" w:type="dxa"/>
          </w:tblCellMar>
        </w:tblPrEx>
        <w:trPr>
          <w:trHeight w:val="1200"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46</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未与承包单位、承租单位签订专门的安全生产管理协议或者未在承包合同、租赁合同中明确各自的安全生产管理职责，或者未对承包单位、承租单位的安全生产统一协调、管理</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《安全生产法》第一百零六条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责令限期改正，处五万元以下的罚款，对其直接负责的主管人员和其他直接责任人员处一万元以下的罚款；逾期未改正的，责令停产停业整顿。</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轻微；一般</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2～4</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6～9</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6～9</w:t>
            </w:r>
          </w:p>
        </w:tc>
      </w:tr>
      <w:tr>
        <w:tblPrEx>
          <w:tblLayout w:type="fixed"/>
          <w:tblCellMar>
            <w:top w:w="15" w:type="dxa"/>
            <w:left w:w="15" w:type="dxa"/>
            <w:bottom w:w="15" w:type="dxa"/>
            <w:right w:w="15" w:type="dxa"/>
          </w:tblCellMar>
        </w:tblPrEx>
        <w:trPr>
          <w:trHeight w:val="948"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47</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未提供建设工程安全生产作业环境及安全施工措施所需费用</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《建设工程安全生产管理条例》第五十四条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责令限期改正；逾期未改正的</w:t>
            </w:r>
            <w:r>
              <w:rPr>
                <w:rStyle w:val="8"/>
                <w:rFonts w:hint="eastAsia" w:ascii="仿宋_GB2312" w:hAnsi="仿宋_GB2312" w:eastAsia="仿宋_GB2312" w:cs="仿宋_GB2312"/>
                <w:color w:val="auto"/>
                <w:sz w:val="21"/>
                <w:szCs w:val="21"/>
                <w:highlight w:val="none"/>
              </w:rPr>
              <w:t>,</w:t>
            </w:r>
            <w:r>
              <w:rPr>
                <w:rStyle w:val="9"/>
                <w:rFonts w:hint="eastAsia" w:ascii="仿宋_GB2312" w:hAnsi="仿宋_GB2312" w:eastAsia="仿宋_GB2312" w:cs="仿宋_GB2312"/>
                <w:color w:val="auto"/>
                <w:sz w:val="21"/>
                <w:szCs w:val="21"/>
                <w:highlight w:val="none"/>
              </w:rPr>
              <w:t>责令该建设工程停止施工。</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轻微；一般</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2～4</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6～9</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6～9</w:t>
            </w:r>
          </w:p>
        </w:tc>
      </w:tr>
      <w:tr>
        <w:tblPrEx>
          <w:tblLayout w:type="fixed"/>
          <w:tblCellMar>
            <w:top w:w="15" w:type="dxa"/>
            <w:left w:w="15" w:type="dxa"/>
            <w:bottom w:w="15" w:type="dxa"/>
            <w:right w:w="15" w:type="dxa"/>
          </w:tblCellMar>
        </w:tblPrEx>
        <w:trPr>
          <w:trHeight w:val="753"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48</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未将保证安全施工的措施或者拆除工程的有关资料报送有关部门备案</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《建设工程安全生产管理条例》第五十四条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责令限期改正，给予警告。</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轻微</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w:t>
            </w:r>
          </w:p>
        </w:tc>
      </w:tr>
      <w:tr>
        <w:tblPrEx>
          <w:tblLayout w:type="fixed"/>
          <w:tblCellMar>
            <w:top w:w="15" w:type="dxa"/>
            <w:left w:w="15" w:type="dxa"/>
            <w:bottom w:w="15" w:type="dxa"/>
            <w:right w:w="15" w:type="dxa"/>
          </w:tblCellMar>
        </w:tblPrEx>
        <w:trPr>
          <w:trHeight w:val="1337"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4</w:t>
            </w:r>
            <w:r>
              <w:rPr>
                <w:rFonts w:hint="eastAsia" w:ascii="仿宋_GB2312" w:hAnsi="仿宋_GB2312" w:eastAsia="仿宋_GB2312" w:cs="仿宋_GB2312"/>
                <w:kern w:val="0"/>
                <w:sz w:val="21"/>
                <w:szCs w:val="21"/>
                <w:highlight w:val="none"/>
                <w:lang w:val="en-US" w:eastAsia="zh-CN"/>
              </w:rPr>
              <w:t>9</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对勘察、设计、施工、工程监理等单位提出不符合安全生产法律、法规和强制性标准规定的要求</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《建设工程安全生产管理条例》第五十五条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责令限期改正，处</w:t>
            </w:r>
            <w:r>
              <w:rPr>
                <w:rStyle w:val="8"/>
                <w:rFonts w:hint="eastAsia" w:ascii="仿宋_GB2312" w:hAnsi="仿宋_GB2312" w:eastAsia="仿宋_GB2312" w:cs="仿宋_GB2312"/>
                <w:color w:val="auto"/>
                <w:sz w:val="21"/>
                <w:szCs w:val="21"/>
                <w:highlight w:val="none"/>
              </w:rPr>
              <w:t>20</w:t>
            </w:r>
            <w:r>
              <w:rPr>
                <w:rStyle w:val="9"/>
                <w:rFonts w:hint="eastAsia" w:ascii="仿宋_GB2312" w:hAnsi="仿宋_GB2312" w:eastAsia="仿宋_GB2312" w:cs="仿宋_GB2312"/>
                <w:color w:val="auto"/>
                <w:sz w:val="21"/>
                <w:szCs w:val="21"/>
                <w:highlight w:val="none"/>
              </w:rPr>
              <w:t>万元以上</w:t>
            </w:r>
            <w:r>
              <w:rPr>
                <w:rStyle w:val="8"/>
                <w:rFonts w:hint="eastAsia" w:ascii="仿宋_GB2312" w:hAnsi="仿宋_GB2312" w:eastAsia="仿宋_GB2312" w:cs="仿宋_GB2312"/>
                <w:color w:val="auto"/>
                <w:sz w:val="21"/>
                <w:szCs w:val="21"/>
                <w:highlight w:val="none"/>
              </w:rPr>
              <w:t>50</w:t>
            </w:r>
            <w:r>
              <w:rPr>
                <w:rStyle w:val="9"/>
                <w:rFonts w:hint="eastAsia" w:ascii="仿宋_GB2312" w:hAnsi="仿宋_GB2312" w:eastAsia="仿宋_GB2312" w:cs="仿宋_GB2312"/>
                <w:color w:val="auto"/>
                <w:sz w:val="21"/>
                <w:szCs w:val="21"/>
                <w:highlight w:val="none"/>
              </w:rPr>
              <w:t>万元以下的罚款；造成重大安全事故，构成犯罪的，对直接责任人员，依照刑法有关规定追究刑事责任；造成损失的，依法承担赔偿责任。</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一般；严重；特别严重（符合规定的，列入严重失信主体名单处理）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4～10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9～18</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9～18</w:t>
            </w:r>
          </w:p>
        </w:tc>
      </w:tr>
      <w:tr>
        <w:tblPrEx>
          <w:tblLayout w:type="fixed"/>
          <w:tblCellMar>
            <w:top w:w="15" w:type="dxa"/>
            <w:left w:w="15" w:type="dxa"/>
            <w:bottom w:w="15" w:type="dxa"/>
            <w:right w:w="15" w:type="dxa"/>
          </w:tblCellMar>
        </w:tblPrEx>
        <w:trPr>
          <w:trHeight w:val="1500"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50</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要求施工单位压缩合同约定的合理工期</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《建设工程质量管理条例》第五十六条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《建设工程安全生产管理条例》第五十五条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责令限期改正，处</w:t>
            </w:r>
            <w:r>
              <w:rPr>
                <w:rStyle w:val="8"/>
                <w:rFonts w:hint="eastAsia" w:ascii="仿宋_GB2312" w:hAnsi="仿宋_GB2312" w:eastAsia="仿宋_GB2312" w:cs="仿宋_GB2312"/>
                <w:color w:val="auto"/>
                <w:sz w:val="21"/>
                <w:szCs w:val="21"/>
                <w:highlight w:val="none"/>
              </w:rPr>
              <w:t>20</w:t>
            </w:r>
            <w:r>
              <w:rPr>
                <w:rStyle w:val="9"/>
                <w:rFonts w:hint="eastAsia" w:ascii="仿宋_GB2312" w:hAnsi="仿宋_GB2312" w:eastAsia="仿宋_GB2312" w:cs="仿宋_GB2312"/>
                <w:color w:val="auto"/>
                <w:sz w:val="21"/>
                <w:szCs w:val="21"/>
                <w:highlight w:val="none"/>
              </w:rPr>
              <w:t>万元以上</w:t>
            </w:r>
            <w:r>
              <w:rPr>
                <w:rStyle w:val="8"/>
                <w:rFonts w:hint="eastAsia" w:ascii="仿宋_GB2312" w:hAnsi="仿宋_GB2312" w:eastAsia="仿宋_GB2312" w:cs="仿宋_GB2312"/>
                <w:color w:val="auto"/>
                <w:sz w:val="21"/>
                <w:szCs w:val="21"/>
                <w:highlight w:val="none"/>
              </w:rPr>
              <w:t>50</w:t>
            </w:r>
            <w:r>
              <w:rPr>
                <w:rStyle w:val="9"/>
                <w:rFonts w:hint="eastAsia" w:ascii="仿宋_GB2312" w:hAnsi="仿宋_GB2312" w:eastAsia="仿宋_GB2312" w:cs="仿宋_GB2312"/>
                <w:color w:val="auto"/>
                <w:sz w:val="21"/>
                <w:szCs w:val="21"/>
                <w:highlight w:val="none"/>
              </w:rPr>
              <w:t>万元以下的罚款；造成重大安全事故，构成犯罪的，对直接责任人员，依照刑法有关规定追究刑事责任；造成损失的，依法承担赔偿责任。</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一般；严重；特别严重（符合规定的，列入严重失信主体名单处理）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4～10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9～18</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9～18</w:t>
            </w:r>
          </w:p>
        </w:tc>
      </w:tr>
      <w:tr>
        <w:tblPrEx>
          <w:tblLayout w:type="fixed"/>
          <w:tblCellMar>
            <w:top w:w="15" w:type="dxa"/>
            <w:left w:w="15" w:type="dxa"/>
            <w:bottom w:w="15" w:type="dxa"/>
            <w:right w:w="15" w:type="dxa"/>
          </w:tblCellMar>
        </w:tblPrEx>
        <w:trPr>
          <w:trHeight w:val="1090"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val="en-US" w:eastAsia="zh-CN"/>
              </w:rPr>
              <w:t>51</w:t>
            </w:r>
          </w:p>
        </w:tc>
        <w:tc>
          <w:tcPr>
            <w:tcW w:w="551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将拆除工程发包给不具有相应资质等级的施工单位</w:t>
            </w:r>
            <w:r>
              <w:rPr>
                <w:rFonts w:hint="eastAsia" w:ascii="仿宋_GB2312" w:hAnsi="仿宋_GB2312" w:eastAsia="仿宋_GB2312" w:cs="仿宋_GB2312"/>
                <w:kern w:val="0"/>
                <w:sz w:val="21"/>
                <w:szCs w:val="21"/>
                <w:highlight w:val="none"/>
                <w:lang w:eastAsia="zh-CN"/>
              </w:rPr>
              <w:t>。</w:t>
            </w:r>
          </w:p>
        </w:tc>
        <w:tc>
          <w:tcPr>
            <w:tcW w:w="504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《建设工程安全生产管理条例》第五十五条</w:t>
            </w:r>
          </w:p>
        </w:tc>
        <w:tc>
          <w:tcPr>
            <w:tcW w:w="394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责令限期改正，处</w:t>
            </w:r>
            <w:r>
              <w:rPr>
                <w:rStyle w:val="8"/>
                <w:rFonts w:hint="eastAsia" w:ascii="仿宋_GB2312" w:hAnsi="仿宋_GB2312" w:eastAsia="仿宋_GB2312" w:cs="仿宋_GB2312"/>
                <w:color w:val="auto"/>
                <w:sz w:val="21"/>
                <w:szCs w:val="21"/>
                <w:highlight w:val="none"/>
              </w:rPr>
              <w:t>20</w:t>
            </w:r>
            <w:r>
              <w:rPr>
                <w:rStyle w:val="9"/>
                <w:rFonts w:hint="eastAsia" w:ascii="仿宋_GB2312" w:hAnsi="仿宋_GB2312" w:eastAsia="仿宋_GB2312" w:cs="仿宋_GB2312"/>
                <w:color w:val="auto"/>
                <w:sz w:val="21"/>
                <w:szCs w:val="21"/>
                <w:highlight w:val="none"/>
              </w:rPr>
              <w:t>万元以上</w:t>
            </w:r>
            <w:r>
              <w:rPr>
                <w:rStyle w:val="8"/>
                <w:rFonts w:hint="eastAsia" w:ascii="仿宋_GB2312" w:hAnsi="仿宋_GB2312" w:eastAsia="仿宋_GB2312" w:cs="仿宋_GB2312"/>
                <w:color w:val="auto"/>
                <w:sz w:val="21"/>
                <w:szCs w:val="21"/>
                <w:highlight w:val="none"/>
              </w:rPr>
              <w:t>50</w:t>
            </w:r>
            <w:r>
              <w:rPr>
                <w:rStyle w:val="9"/>
                <w:rFonts w:hint="eastAsia" w:ascii="仿宋_GB2312" w:hAnsi="仿宋_GB2312" w:eastAsia="仿宋_GB2312" w:cs="仿宋_GB2312"/>
                <w:color w:val="auto"/>
                <w:sz w:val="21"/>
                <w:szCs w:val="21"/>
                <w:highlight w:val="none"/>
              </w:rPr>
              <w:t>万元以下的罚款；造成重大安全事故，构成犯罪的，对直接责任人员，依照刑法有关规定追究刑事责任；造成损失的，依法承担赔偿责任。</w:t>
            </w:r>
          </w:p>
        </w:tc>
        <w:tc>
          <w:tcPr>
            <w:tcW w:w="1772"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一般；严重；特别严重（符合规定的，列入严重失信主体名单处理）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4～10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9～18</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9～18</w:t>
            </w:r>
          </w:p>
        </w:tc>
      </w:tr>
    </w:tbl>
    <w:p>
      <w:pPr>
        <w:jc w:val="center"/>
        <w:rPr>
          <w:rFonts w:hint="eastAsia" w:ascii="仿宋_GB2312" w:hAnsi="仿宋_GB2312" w:eastAsia="仿宋_GB2312" w:cs="仿宋_GB2312"/>
          <w:sz w:val="32"/>
          <w:szCs w:val="32"/>
          <w:highlight w:val="none"/>
        </w:rPr>
      </w:pP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r>
        <w:rPr>
          <w:rFonts w:hint="eastAsia" w:ascii="仿宋_GB2312" w:hAnsi="仿宋_GB2312" w:eastAsia="仿宋_GB2312" w:cs="仿宋_GB2312"/>
          <w:sz w:val="32"/>
          <w:szCs w:val="32"/>
          <w:highlight w:val="none"/>
        </w:rPr>
        <w:t xml:space="preserve">附表3-2  </w:t>
      </w:r>
      <w:r>
        <w:rPr>
          <w:rFonts w:hint="eastAsia" w:ascii="仿宋_GB2312" w:hAnsi="仿宋_GB2312" w:eastAsia="仿宋_GB2312" w:cs="仿宋_GB2312"/>
          <w:kern w:val="0"/>
          <w:sz w:val="32"/>
          <w:szCs w:val="32"/>
          <w:highlight w:val="none"/>
        </w:rPr>
        <w:t>勘察单位不良行为认定标准</w:t>
      </w:r>
    </w:p>
    <w:tbl>
      <w:tblPr>
        <w:tblStyle w:val="6"/>
        <w:tblW w:w="21102" w:type="dxa"/>
        <w:jc w:val="center"/>
        <w:tblInd w:w="0" w:type="dxa"/>
        <w:tblLayout w:type="fixed"/>
        <w:tblCellMar>
          <w:top w:w="0" w:type="dxa"/>
          <w:left w:w="108" w:type="dxa"/>
          <w:bottom w:w="0" w:type="dxa"/>
          <w:right w:w="108" w:type="dxa"/>
        </w:tblCellMar>
      </w:tblPr>
      <w:tblGrid>
        <w:gridCol w:w="817"/>
        <w:gridCol w:w="710"/>
        <w:gridCol w:w="2007"/>
        <w:gridCol w:w="3609"/>
        <w:gridCol w:w="3711"/>
        <w:gridCol w:w="5070"/>
        <w:gridCol w:w="1763"/>
        <w:gridCol w:w="1126"/>
        <w:gridCol w:w="1135"/>
        <w:gridCol w:w="1154"/>
      </w:tblGrid>
      <w:tr>
        <w:tblPrEx>
          <w:tblLayout w:type="fixed"/>
          <w:tblCellMar>
            <w:top w:w="0" w:type="dxa"/>
            <w:left w:w="108" w:type="dxa"/>
            <w:bottom w:w="0" w:type="dxa"/>
            <w:right w:w="108" w:type="dxa"/>
          </w:tblCellMar>
        </w:tblPrEx>
        <w:trPr>
          <w:trHeight w:val="771" w:hRule="atLeast"/>
          <w:tblHeader/>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行为</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类别</w:t>
            </w:r>
          </w:p>
        </w:tc>
        <w:tc>
          <w:tcPr>
            <w:tcW w:w="710"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序号</w:t>
            </w:r>
          </w:p>
        </w:tc>
        <w:tc>
          <w:tcPr>
            <w:tcW w:w="5616" w:type="dxa"/>
            <w:gridSpan w:val="2"/>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不良信用行为</w:t>
            </w:r>
          </w:p>
        </w:tc>
        <w:tc>
          <w:tcPr>
            <w:tcW w:w="371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法律法规和规章依据</w:t>
            </w:r>
          </w:p>
        </w:tc>
        <w:tc>
          <w:tcPr>
            <w:tcW w:w="5070"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行政处理</w:t>
            </w:r>
          </w:p>
        </w:tc>
        <w:tc>
          <w:tcPr>
            <w:tcW w:w="1763"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不良行为等级</w:t>
            </w:r>
          </w:p>
        </w:tc>
        <w:tc>
          <w:tcPr>
            <w:tcW w:w="112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信用</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扣分值</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（分）</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信用扣分</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有效期</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（月）</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信用信息</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公告期</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（月）</w:t>
            </w:r>
          </w:p>
        </w:tc>
      </w:tr>
      <w:tr>
        <w:tblPrEx>
          <w:tblLayout w:type="fixed"/>
          <w:tblCellMar>
            <w:top w:w="0" w:type="dxa"/>
            <w:left w:w="108" w:type="dxa"/>
            <w:bottom w:w="0" w:type="dxa"/>
            <w:right w:w="108" w:type="dxa"/>
          </w:tblCellMar>
        </w:tblPrEx>
        <w:trPr>
          <w:trHeight w:val="975" w:hRule="atLeast"/>
          <w:jc w:val="center"/>
        </w:trPr>
        <w:tc>
          <w:tcPr>
            <w:tcW w:w="817" w:type="dxa"/>
            <w:vMerge w:val="restart"/>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资质管理</w:t>
            </w: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超越本单位资质等级承揽工程</w:t>
            </w:r>
            <w:r>
              <w:rPr>
                <w:rFonts w:hint="eastAsia" w:ascii="仿宋_GB2312" w:hAnsi="仿宋_GB2312" w:eastAsia="仿宋_GB2312" w:cs="仿宋_GB2312"/>
                <w:kern w:val="0"/>
                <w:sz w:val="21"/>
                <w:szCs w:val="21"/>
                <w:highlight w:val="none"/>
                <w:lang w:eastAsia="zh-CN"/>
              </w:rPr>
              <w:t>。</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《建设工程质量管理条例》第六十条</w:t>
            </w:r>
          </w:p>
        </w:tc>
        <w:tc>
          <w:tcPr>
            <w:tcW w:w="5070"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责令停止违法行为，处合同约定的勘察费1倍以上2倍以下的罚款；可以责令停业整顿，降低资质等级；情节严重的，吊销资质证书；有违法所得的，予以没收。</w:t>
            </w:r>
          </w:p>
        </w:tc>
        <w:tc>
          <w:tcPr>
            <w:tcW w:w="176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112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495" w:hRule="atLeast"/>
          <w:jc w:val="center"/>
        </w:trPr>
        <w:tc>
          <w:tcPr>
            <w:tcW w:w="817"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未取得资质证书承揽工程</w:t>
            </w:r>
            <w:r>
              <w:rPr>
                <w:rFonts w:hint="eastAsia" w:ascii="仿宋_GB2312" w:hAnsi="仿宋_GB2312" w:eastAsia="仿宋_GB2312" w:cs="仿宋_GB2312"/>
                <w:kern w:val="0"/>
                <w:sz w:val="21"/>
                <w:szCs w:val="21"/>
                <w:highlight w:val="none"/>
                <w:lang w:eastAsia="zh-CN"/>
              </w:rPr>
              <w:t>。</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《建设工程质量管理条例》第六十条</w:t>
            </w:r>
          </w:p>
        </w:tc>
        <w:tc>
          <w:tcPr>
            <w:tcW w:w="5070"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予以取缔，处合同约定的勘察费1倍以上2倍以下的罚款；有违法所得的，予以没收。</w:t>
            </w:r>
          </w:p>
        </w:tc>
        <w:tc>
          <w:tcPr>
            <w:tcW w:w="176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112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750" w:hRule="atLeast"/>
          <w:jc w:val="center"/>
        </w:trPr>
        <w:tc>
          <w:tcPr>
            <w:tcW w:w="817"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允许其他单位或者个人以本单位名义承揽工程</w:t>
            </w:r>
            <w:r>
              <w:rPr>
                <w:rFonts w:hint="eastAsia" w:ascii="仿宋_GB2312" w:hAnsi="仿宋_GB2312" w:eastAsia="仿宋_GB2312" w:cs="仿宋_GB2312"/>
                <w:kern w:val="0"/>
                <w:sz w:val="21"/>
                <w:szCs w:val="21"/>
                <w:highlight w:val="none"/>
                <w:lang w:eastAsia="zh-CN"/>
              </w:rPr>
              <w:t>。</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《建设工程质量管理条例》第六十一条</w:t>
            </w:r>
          </w:p>
        </w:tc>
        <w:tc>
          <w:tcPr>
            <w:tcW w:w="5070"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责令改正，没收违法所得，处合同约定的勘察费1倍以上2倍以下的罚款；可以责令停业整顿，降低资质等级；情节严重的，吊销资质证书。</w:t>
            </w:r>
          </w:p>
        </w:tc>
        <w:tc>
          <w:tcPr>
            <w:tcW w:w="176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w:t>
            </w:r>
          </w:p>
        </w:tc>
        <w:tc>
          <w:tcPr>
            <w:tcW w:w="112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655" w:hRule="atLeast"/>
          <w:jc w:val="center"/>
        </w:trPr>
        <w:tc>
          <w:tcPr>
            <w:tcW w:w="817"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未在规定期限内办理资质变更手续</w:t>
            </w:r>
            <w:r>
              <w:rPr>
                <w:rFonts w:hint="eastAsia" w:ascii="仿宋_GB2312" w:hAnsi="仿宋_GB2312" w:eastAsia="仿宋_GB2312" w:cs="仿宋_GB2312"/>
                <w:kern w:val="0"/>
                <w:sz w:val="21"/>
                <w:szCs w:val="21"/>
                <w:highlight w:val="none"/>
                <w:lang w:eastAsia="zh-CN"/>
              </w:rPr>
              <w:t>。</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《建筑业企业资质管理规定》第三十八条</w:t>
            </w:r>
          </w:p>
        </w:tc>
        <w:tc>
          <w:tcPr>
            <w:tcW w:w="5070"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责令限期办理；逾期不办理的，可处以1000元以上1万元以下的罚款</w:t>
            </w:r>
          </w:p>
        </w:tc>
        <w:tc>
          <w:tcPr>
            <w:tcW w:w="176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w:t>
            </w:r>
          </w:p>
        </w:tc>
        <w:tc>
          <w:tcPr>
            <w:tcW w:w="112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2～4</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6～9</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6～9</w:t>
            </w:r>
          </w:p>
        </w:tc>
      </w:tr>
      <w:tr>
        <w:tblPrEx>
          <w:tblLayout w:type="fixed"/>
          <w:tblCellMar>
            <w:top w:w="0" w:type="dxa"/>
            <w:left w:w="108" w:type="dxa"/>
            <w:bottom w:w="0" w:type="dxa"/>
            <w:right w:w="108" w:type="dxa"/>
          </w:tblCellMar>
        </w:tblPrEx>
        <w:trPr>
          <w:trHeight w:val="5479" w:hRule="atLeast"/>
          <w:jc w:val="center"/>
        </w:trPr>
        <w:tc>
          <w:tcPr>
            <w:tcW w:w="817" w:type="dxa"/>
            <w:vMerge w:val="restart"/>
            <w:tcBorders>
              <w:top w:val="nil"/>
              <w:left w:val="single" w:color="auto" w:sz="4" w:space="0"/>
              <w:bottom w:val="single" w:color="000000"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w:t>
            </w: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相互串通投标（包括但不限于：1.投标人之间协商投标报价等投标文件的实质性内容；2.投标人之间约定中标人；3.投标人之间约定部分投标人放弃投标或者中标；4.属于同一集团、协会、商会等组织成员的投标人按照该组织要求协同投标；5.投标人之间为谋取中标或者排斥特定投标人而采取的其他联合行动；6.不同投标人的投标文件由同一单位或者个人编制；7.不同投标人委托同一单位或者个人办理投标事宜；8.不同投标人的投标文件载明的项目管理成员为同一人；9.不同投标人的投标文件异常一致或者投标报价呈规律性差异；10.不同投标人的投标文件相互混装；11.不同投标人的投标保证金从同一单位或者个人的账户转出；不同投标人编制的投标文件的实质性内容存在两处以上细节错误一致；12.不同投标人的投标文件由同一电子设备编制、打包加密或者上传，不同投标人的投标文件由同一投标人的电子设备打印、复印；13.不同投标人的投标文件由同一投标人送达或者分发；14.参加投标活动的人员为同一标段其他投标人的在职人员；15.不同投标人的投标保证金从投标人各自的基本账户转出，但是，所需资金来自同一单位或者个人账户。）</w:t>
            </w:r>
          </w:p>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以向招标人或者评标委员会成员行贿等不正当手段谋取中标</w:t>
            </w:r>
            <w:r>
              <w:rPr>
                <w:rFonts w:hint="eastAsia" w:ascii="仿宋_GB2312" w:hAnsi="仿宋_GB2312" w:eastAsia="仿宋_GB2312" w:cs="仿宋_GB2312"/>
                <w:kern w:val="0"/>
                <w:sz w:val="21"/>
                <w:szCs w:val="21"/>
                <w:highlight w:val="none"/>
                <w:lang w:eastAsia="zh-CN"/>
              </w:rPr>
              <w:t>。</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《招标投标法》第五十三条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《招标投标法实施条例》第三十九条、第四十条、第六十七条</w:t>
            </w:r>
          </w:p>
        </w:tc>
        <w:tc>
          <w:tcPr>
            <w:tcW w:w="5070"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xml:space="preserve">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 </w:t>
            </w:r>
          </w:p>
        </w:tc>
        <w:tc>
          <w:tcPr>
            <w:tcW w:w="176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112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264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以他人名义投标或者以其他方式弄虚作假，骗取中标（包括但不限于：1.使用伪造、变造的许可证件；2.提供虚假的财务状况或者业绩；3.提供虚假的项目负责人或者主要技术人员简历、劳动关系证明；4.提供虚假的信用状况；5.使用通过受让或者租借等方式获取的资格、资质证书投标；6.其他弄虚作假的行为。）</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《招标投标法》第五十四条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《招标投标法实施条例》第四十二条、第六十八条</w:t>
            </w:r>
          </w:p>
        </w:tc>
        <w:tc>
          <w:tcPr>
            <w:tcW w:w="5070"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中标无效，给招标人造成损失的，依法承担赔偿责任；构成犯罪的，依法追究刑事责任。</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 xml:space="preserve">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 </w:t>
            </w:r>
          </w:p>
        </w:tc>
        <w:tc>
          <w:tcPr>
            <w:tcW w:w="176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112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1053"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7</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将中标项目转让给他人；将中标项目肢解后分别转让给他人；违反本法规定将中标项目的部分主体、关键性工作分包给他人；分包人再次分包</w:t>
            </w:r>
            <w:r>
              <w:rPr>
                <w:rFonts w:hint="eastAsia" w:ascii="仿宋_GB2312" w:hAnsi="仿宋_GB2312" w:eastAsia="仿宋_GB2312" w:cs="仿宋_GB2312"/>
                <w:kern w:val="0"/>
                <w:sz w:val="21"/>
                <w:szCs w:val="21"/>
                <w:highlight w:val="none"/>
                <w:lang w:eastAsia="zh-CN"/>
              </w:rPr>
              <w:t>。</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《招标投标法》第五十八条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《建设工程质量管理条例》第六十二条</w:t>
            </w:r>
          </w:p>
        </w:tc>
        <w:tc>
          <w:tcPr>
            <w:tcW w:w="5070"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转让、分包无效，责令改正，没收违法所得，对勘察单位处合同约定的勘察费25％以上50％以下的罚款；可以责令停业整顿，降低资质等级；情节严重的，吊销资质证书。</w:t>
            </w:r>
          </w:p>
        </w:tc>
        <w:tc>
          <w:tcPr>
            <w:tcW w:w="176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w:t>
            </w:r>
          </w:p>
        </w:tc>
        <w:tc>
          <w:tcPr>
            <w:tcW w:w="112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446"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8</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中标人无正当理由不与招标人订立合同；在签订合同时向招标人提出附加条件；不按照招标文件要求提交履约保证金</w:t>
            </w:r>
            <w:r>
              <w:rPr>
                <w:rFonts w:hint="eastAsia" w:ascii="仿宋_GB2312" w:hAnsi="仿宋_GB2312" w:eastAsia="仿宋_GB2312" w:cs="仿宋_GB2312"/>
                <w:kern w:val="0"/>
                <w:sz w:val="21"/>
                <w:szCs w:val="21"/>
                <w:highlight w:val="none"/>
                <w:lang w:eastAsia="zh-CN"/>
              </w:rPr>
              <w:t>。</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《招标投标法实施条例》第七十四条</w:t>
            </w:r>
          </w:p>
        </w:tc>
        <w:tc>
          <w:tcPr>
            <w:tcW w:w="5070"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取消其中标资格，投标保证金不予退还。对依法必须进行招标的项目的中标人，由有关行政监督部门责令改正，可以处中标项目金额10‰以下的罚款。</w:t>
            </w:r>
          </w:p>
        </w:tc>
        <w:tc>
          <w:tcPr>
            <w:tcW w:w="176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严重；特别严重</w:t>
            </w:r>
          </w:p>
        </w:tc>
        <w:tc>
          <w:tcPr>
            <w:tcW w:w="112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12～18</w:t>
            </w:r>
          </w:p>
        </w:tc>
      </w:tr>
      <w:tr>
        <w:tblPrEx>
          <w:tblLayout w:type="fixed"/>
          <w:tblCellMar>
            <w:top w:w="0" w:type="dxa"/>
            <w:left w:w="108" w:type="dxa"/>
            <w:bottom w:w="0" w:type="dxa"/>
            <w:right w:w="108" w:type="dxa"/>
          </w:tblCellMar>
        </w:tblPrEx>
        <w:trPr>
          <w:trHeight w:val="96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与招标人订立合同的主要条款与招标文件、中标人的投标文件的内容不一致；或者招标人、中标人订立背离合同实质性内容的协议</w:t>
            </w:r>
            <w:r>
              <w:rPr>
                <w:rFonts w:hint="eastAsia" w:ascii="仿宋_GB2312" w:hAnsi="仿宋_GB2312" w:eastAsia="仿宋_GB2312" w:cs="仿宋_GB2312"/>
                <w:kern w:val="0"/>
                <w:sz w:val="21"/>
                <w:szCs w:val="21"/>
                <w:highlight w:val="none"/>
                <w:lang w:eastAsia="zh-CN"/>
              </w:rPr>
              <w:t>。</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《招标投标法》第五十九条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《招标投标法实施条例》第七十五条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《工程建设项目勘察设计招标投标办法》第五十五条</w:t>
            </w:r>
          </w:p>
        </w:tc>
        <w:tc>
          <w:tcPr>
            <w:tcW w:w="5070"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责令改正，可以处中标项目金额5‰以上10‰以下的罚款。</w:t>
            </w:r>
          </w:p>
        </w:tc>
        <w:tc>
          <w:tcPr>
            <w:tcW w:w="176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112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723"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2007"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非因不可抗力原因和招标人原因，不按照与招标人订立的合同履行义务（包括但不限于）</w:t>
            </w:r>
          </w:p>
        </w:tc>
        <w:tc>
          <w:tcPr>
            <w:tcW w:w="3609"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未按审查单位的审查意见和有关规定程序修改、变更勘察文件</w:t>
            </w:r>
            <w:r>
              <w:rPr>
                <w:rFonts w:hint="eastAsia" w:ascii="仿宋_GB2312" w:hAnsi="仿宋_GB2312" w:eastAsia="仿宋_GB2312" w:cs="仿宋_GB2312"/>
                <w:kern w:val="0"/>
                <w:sz w:val="21"/>
                <w:szCs w:val="21"/>
                <w:highlight w:val="none"/>
                <w:lang w:eastAsia="zh-CN"/>
              </w:rPr>
              <w:t>。</w:t>
            </w:r>
          </w:p>
        </w:tc>
        <w:tc>
          <w:tcPr>
            <w:tcW w:w="3711"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《招标投标法》第六十条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勘察单位与项目法人签订的勘察合同</w:t>
            </w:r>
          </w:p>
        </w:tc>
        <w:tc>
          <w:tcPr>
            <w:tcW w:w="5070"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履约保证金不予退还，给招标人造成的损失超过履约保证金数额的，还应当对超过部分予以赔偿；没有提交履约保证金的，应当对招标人的损失承担赔偿责任。</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 xml:space="preserve">情节严重的，取消其二年至五年内参加依法必须进行招标的项目的投标资格并予以公告，直至由工商行政管理机关吊销营业执照。 </w:t>
            </w:r>
          </w:p>
        </w:tc>
        <w:tc>
          <w:tcPr>
            <w:tcW w:w="1763"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轻微（不予行政处理的不予公告）；一般；严重；特别严重（符合规定的，列入严重失信主体名单处理）</w:t>
            </w:r>
          </w:p>
        </w:tc>
        <w:tc>
          <w:tcPr>
            <w:tcW w:w="1126"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135"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54" w:type="dxa"/>
            <w:vMerge w:val="restart"/>
            <w:tcBorders>
              <w:top w:val="nil"/>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522"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11</w:t>
            </w:r>
          </w:p>
        </w:tc>
        <w:tc>
          <w:tcPr>
            <w:tcW w:w="2007"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3609"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未按照合同约定投入勘察人员</w:t>
            </w:r>
            <w:r>
              <w:rPr>
                <w:rFonts w:hint="eastAsia" w:ascii="仿宋_GB2312" w:hAnsi="仿宋_GB2312" w:eastAsia="仿宋_GB2312" w:cs="仿宋_GB2312"/>
                <w:kern w:val="0"/>
                <w:sz w:val="21"/>
                <w:szCs w:val="21"/>
                <w:highlight w:val="none"/>
                <w:lang w:eastAsia="zh-CN"/>
              </w:rPr>
              <w:t>。</w:t>
            </w:r>
          </w:p>
        </w:tc>
        <w:tc>
          <w:tcPr>
            <w:tcW w:w="3711"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070"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63"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26"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5"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54"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86"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w:t>
            </w:r>
          </w:p>
        </w:tc>
        <w:tc>
          <w:tcPr>
            <w:tcW w:w="2007"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3609"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未参加应该参加的各种会议和验收</w:t>
            </w:r>
            <w:r>
              <w:rPr>
                <w:rFonts w:hint="eastAsia" w:ascii="仿宋_GB2312" w:hAnsi="仿宋_GB2312" w:eastAsia="仿宋_GB2312" w:cs="仿宋_GB2312"/>
                <w:kern w:val="0"/>
                <w:sz w:val="21"/>
                <w:szCs w:val="21"/>
                <w:highlight w:val="none"/>
                <w:lang w:eastAsia="zh-CN"/>
              </w:rPr>
              <w:t>。</w:t>
            </w:r>
          </w:p>
        </w:tc>
        <w:tc>
          <w:tcPr>
            <w:tcW w:w="3711"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070"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63"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26"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5"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54"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1468"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13</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以联合体形式投标，联合体成员未向招标人提交共同投标协议且又以自己名义单独投标；或者参加其他联合体投同一个标</w:t>
            </w:r>
            <w:r>
              <w:rPr>
                <w:rFonts w:hint="eastAsia" w:ascii="仿宋_GB2312" w:hAnsi="仿宋_GB2312" w:eastAsia="仿宋_GB2312" w:cs="仿宋_GB2312"/>
                <w:kern w:val="0"/>
                <w:sz w:val="21"/>
                <w:szCs w:val="21"/>
                <w:highlight w:val="none"/>
                <w:lang w:eastAsia="zh-CN"/>
              </w:rPr>
              <w:t>。</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《水利工程建设项目勘察（测）设计招标投标管理办法》第四十一条第一款、第六十一条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《工程建设项目勘察设计招标投标办法》第二十七条</w:t>
            </w:r>
          </w:p>
        </w:tc>
        <w:tc>
          <w:tcPr>
            <w:tcW w:w="5070"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废标处理或被否决</w:t>
            </w:r>
            <w:r>
              <w:rPr>
                <w:rFonts w:hint="eastAsia" w:ascii="仿宋_GB2312" w:hAnsi="仿宋_GB2312" w:eastAsia="仿宋_GB2312" w:cs="仿宋_GB2312"/>
                <w:kern w:val="0"/>
                <w:sz w:val="21"/>
                <w:szCs w:val="21"/>
                <w:highlight w:val="none"/>
                <w:lang w:eastAsia="zh-CN"/>
              </w:rPr>
              <w:t>。</w:t>
            </w:r>
          </w:p>
        </w:tc>
        <w:tc>
          <w:tcPr>
            <w:tcW w:w="176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严重</w:t>
            </w:r>
          </w:p>
        </w:tc>
        <w:tc>
          <w:tcPr>
            <w:tcW w:w="112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w:t>
            </w:r>
          </w:p>
        </w:tc>
      </w:tr>
      <w:tr>
        <w:tblPrEx>
          <w:tblLayout w:type="fixed"/>
          <w:tblCellMar>
            <w:top w:w="0" w:type="dxa"/>
            <w:left w:w="108" w:type="dxa"/>
            <w:bottom w:w="0" w:type="dxa"/>
            <w:right w:w="108" w:type="dxa"/>
          </w:tblCellMar>
        </w:tblPrEx>
        <w:trPr>
          <w:trHeight w:val="973"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14</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捏造或者虚构事项投诉干扰招标工作正常进行</w:t>
            </w:r>
            <w:r>
              <w:rPr>
                <w:rFonts w:hint="eastAsia" w:ascii="仿宋_GB2312" w:hAnsi="仿宋_GB2312" w:eastAsia="仿宋_GB2312" w:cs="仿宋_GB2312"/>
                <w:kern w:val="0"/>
                <w:sz w:val="21"/>
                <w:szCs w:val="21"/>
                <w:highlight w:val="none"/>
                <w:lang w:eastAsia="zh-CN"/>
              </w:rPr>
              <w:t>。</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《招标投标法实施条例》第七十七条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《工程建设项目招标投标活动投诉处理办法》（国家七部委11号令）第二十六条</w:t>
            </w:r>
          </w:p>
        </w:tc>
        <w:tc>
          <w:tcPr>
            <w:tcW w:w="5070"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驳回投诉，并给予警告；情节严重的，可以并处一万元以下罚款。</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给他人造成损失的，依法承担赔偿责任。</w:t>
            </w:r>
          </w:p>
        </w:tc>
        <w:tc>
          <w:tcPr>
            <w:tcW w:w="176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w:t>
            </w:r>
          </w:p>
        </w:tc>
        <w:tc>
          <w:tcPr>
            <w:tcW w:w="112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1441" w:hRule="atLeast"/>
          <w:jc w:val="center"/>
        </w:trPr>
        <w:tc>
          <w:tcPr>
            <w:tcW w:w="817" w:type="dxa"/>
            <w:vMerge w:val="restart"/>
            <w:tcBorders>
              <w:top w:val="nil"/>
              <w:left w:val="single" w:color="auto" w:sz="4" w:space="0"/>
              <w:bottom w:val="single" w:color="000000"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质量安全</w:t>
            </w: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15</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未按照工程建设强制性标准进行勘察</w:t>
            </w:r>
            <w:r>
              <w:rPr>
                <w:rFonts w:hint="eastAsia" w:ascii="仿宋_GB2312" w:hAnsi="仿宋_GB2312" w:eastAsia="仿宋_GB2312" w:cs="仿宋_GB2312"/>
                <w:kern w:val="0"/>
                <w:sz w:val="21"/>
                <w:szCs w:val="21"/>
                <w:highlight w:val="none"/>
                <w:lang w:eastAsia="zh-CN"/>
              </w:rPr>
              <w:t>。</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《建设工程安全生产管理条例》第五十六条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《建设工程勘察设计管理条例》第四十一条</w:t>
            </w:r>
          </w:p>
        </w:tc>
        <w:tc>
          <w:tcPr>
            <w:tcW w:w="5070"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责令改正，处10万元以上30万元以下的罚款；造成工程质量事故的，责令停业整顿，降低资质等级；情节严重的，吊销资质证书；造成损失的，依法承担赔偿责任。</w:t>
            </w:r>
          </w:p>
        </w:tc>
        <w:tc>
          <w:tcPr>
            <w:tcW w:w="176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一般；严重；特别严重</w:t>
            </w:r>
          </w:p>
        </w:tc>
        <w:tc>
          <w:tcPr>
            <w:tcW w:w="112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r>
      <w:tr>
        <w:tblPrEx>
          <w:tblLayout w:type="fixed"/>
          <w:tblCellMar>
            <w:top w:w="0" w:type="dxa"/>
            <w:left w:w="108" w:type="dxa"/>
            <w:bottom w:w="0" w:type="dxa"/>
            <w:right w:w="108" w:type="dxa"/>
          </w:tblCellMar>
        </w:tblPrEx>
        <w:trPr>
          <w:trHeight w:val="1414"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16</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未按照项目批准文件</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城乡规划及专业规划</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国家规定的建设工程勘察、设计深度等其他相关规范和规定进行勘察</w:t>
            </w:r>
            <w:r>
              <w:rPr>
                <w:rFonts w:hint="eastAsia" w:ascii="仿宋_GB2312" w:hAnsi="仿宋_GB2312" w:eastAsia="仿宋_GB2312" w:cs="仿宋_GB2312"/>
                <w:kern w:val="0"/>
                <w:sz w:val="21"/>
                <w:szCs w:val="21"/>
                <w:highlight w:val="none"/>
                <w:lang w:eastAsia="zh-CN"/>
              </w:rPr>
              <w:t>。</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《建设工程勘察设计管理条例》第四十条</w:t>
            </w:r>
          </w:p>
        </w:tc>
        <w:tc>
          <w:tcPr>
            <w:tcW w:w="5070"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责令限期改正；逾期不改正的，处10万元以上30万元以下的罚款；造成工程质量事故或者环境污染和生态破坏的，责令停业整顿，降低资质等级；情节严重的，吊销资质证书；造成损失的，依法承担赔偿责任。</w:t>
            </w:r>
          </w:p>
        </w:tc>
        <w:tc>
          <w:tcPr>
            <w:tcW w:w="176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112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9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17</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未</w:t>
            </w:r>
            <w:r>
              <w:rPr>
                <w:rFonts w:hint="eastAsia" w:ascii="仿宋_GB2312" w:hAnsi="仿宋_GB2312" w:eastAsia="仿宋_GB2312" w:cs="仿宋_GB2312"/>
                <w:kern w:val="0"/>
                <w:sz w:val="21"/>
                <w:szCs w:val="21"/>
                <w:highlight w:val="none"/>
              </w:rPr>
              <w:t>依照有关规定建立健全勘察质量管理体系，</w:t>
            </w:r>
            <w:r>
              <w:rPr>
                <w:rFonts w:hint="eastAsia" w:ascii="仿宋_GB2312" w:hAnsi="仿宋_GB2312" w:eastAsia="仿宋_GB2312" w:cs="仿宋_GB2312"/>
                <w:kern w:val="0"/>
                <w:sz w:val="21"/>
                <w:szCs w:val="21"/>
                <w:highlight w:val="none"/>
                <w:lang w:val="en-US" w:eastAsia="zh-CN"/>
              </w:rPr>
              <w:t>或者未</w:t>
            </w:r>
            <w:r>
              <w:rPr>
                <w:rFonts w:hint="eastAsia" w:ascii="仿宋_GB2312" w:hAnsi="仿宋_GB2312" w:eastAsia="仿宋_GB2312" w:cs="仿宋_GB2312"/>
                <w:kern w:val="0"/>
                <w:sz w:val="21"/>
                <w:szCs w:val="21"/>
                <w:highlight w:val="none"/>
              </w:rPr>
              <w:t>严格执行勘察文件的校审、会签、批准制度</w:t>
            </w:r>
            <w:r>
              <w:rPr>
                <w:rFonts w:hint="eastAsia" w:ascii="仿宋_GB2312" w:hAnsi="仿宋_GB2312" w:eastAsia="仿宋_GB2312" w:cs="仿宋_GB2312"/>
                <w:kern w:val="0"/>
                <w:sz w:val="21"/>
                <w:szCs w:val="21"/>
                <w:highlight w:val="none"/>
                <w:lang w:eastAsia="zh-CN"/>
              </w:rPr>
              <w:t>。</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二十三</w:t>
            </w:r>
            <w:r>
              <w:rPr>
                <w:rFonts w:hint="eastAsia" w:ascii="仿宋_GB2312" w:hAnsi="仿宋_GB2312" w:eastAsia="仿宋_GB2312" w:cs="仿宋_GB2312"/>
                <w:kern w:val="0"/>
                <w:sz w:val="21"/>
                <w:szCs w:val="21"/>
                <w:highlight w:val="none"/>
              </w:rPr>
              <w:t>条</w:t>
            </w:r>
          </w:p>
        </w:tc>
        <w:tc>
          <w:tcPr>
            <w:tcW w:w="507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责令改正。</w:t>
            </w:r>
          </w:p>
        </w:tc>
        <w:tc>
          <w:tcPr>
            <w:tcW w:w="17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轻微；一般；严重；特别严重</w:t>
            </w: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406"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18</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在工程施工前，未向施工、监理等有关参建单位进行交底。</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二十七</w:t>
            </w:r>
            <w:r>
              <w:rPr>
                <w:rFonts w:hint="eastAsia" w:ascii="仿宋_GB2312" w:hAnsi="仿宋_GB2312" w:eastAsia="仿宋_GB2312" w:cs="仿宋_GB2312"/>
                <w:kern w:val="0"/>
                <w:sz w:val="21"/>
                <w:szCs w:val="21"/>
                <w:highlight w:val="none"/>
              </w:rPr>
              <w:t>条</w:t>
            </w:r>
          </w:p>
        </w:tc>
        <w:tc>
          <w:tcPr>
            <w:tcW w:w="5070" w:type="dxa"/>
            <w:tcBorders>
              <w:top w:val="single" w:color="auto" w:sz="4" w:space="0"/>
              <w:left w:val="nil"/>
              <w:bottom w:val="nil"/>
              <w:right w:val="nil"/>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责令改正。</w:t>
            </w:r>
          </w:p>
        </w:tc>
        <w:tc>
          <w:tcPr>
            <w:tcW w:w="17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轻微；一般；严重；特别严重</w:t>
            </w: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563"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19</w:t>
            </w:r>
          </w:p>
        </w:tc>
        <w:tc>
          <w:tcPr>
            <w:tcW w:w="5616" w:type="dxa"/>
            <w:gridSpan w:val="2"/>
            <w:tcBorders>
              <w:top w:val="nil"/>
              <w:left w:val="nil"/>
              <w:bottom w:val="single" w:color="auto" w:sz="4" w:space="0"/>
              <w:right w:val="single" w:color="auto" w:sz="4" w:space="0"/>
            </w:tcBorders>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240" w:lineRule="auto"/>
              <w:ind w:left="0" w:firstLine="0"/>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未及时解决施工中出现的勘察问题。</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二十八</w:t>
            </w:r>
            <w:r>
              <w:rPr>
                <w:rFonts w:hint="eastAsia" w:ascii="仿宋_GB2312" w:hAnsi="仿宋_GB2312" w:eastAsia="仿宋_GB2312" w:cs="仿宋_GB2312"/>
                <w:kern w:val="0"/>
                <w:sz w:val="21"/>
                <w:szCs w:val="21"/>
                <w:highlight w:val="none"/>
              </w:rPr>
              <w:t>条</w:t>
            </w:r>
          </w:p>
        </w:tc>
        <w:tc>
          <w:tcPr>
            <w:tcW w:w="5070" w:type="dxa"/>
            <w:tcBorders>
              <w:top w:val="single" w:color="auto" w:sz="4" w:space="0"/>
              <w:left w:val="nil"/>
              <w:bottom w:val="single" w:color="auto" w:sz="4" w:space="0"/>
              <w:right w:val="nil"/>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责令改正。</w:t>
            </w:r>
          </w:p>
        </w:tc>
        <w:tc>
          <w:tcPr>
            <w:tcW w:w="17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轻微；一般；严重；特别严重</w:t>
            </w: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701"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20</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在验收中，未对施工质量是否满足设计要求提出明确的评价意见。</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二十九</w:t>
            </w:r>
            <w:r>
              <w:rPr>
                <w:rFonts w:hint="eastAsia" w:ascii="仿宋_GB2312" w:hAnsi="仿宋_GB2312" w:eastAsia="仿宋_GB2312" w:cs="仿宋_GB2312"/>
                <w:kern w:val="0"/>
                <w:sz w:val="21"/>
                <w:szCs w:val="21"/>
                <w:highlight w:val="none"/>
              </w:rPr>
              <w:t>条</w:t>
            </w:r>
          </w:p>
        </w:tc>
        <w:tc>
          <w:tcPr>
            <w:tcW w:w="507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责令改正。</w:t>
            </w:r>
          </w:p>
        </w:tc>
        <w:tc>
          <w:tcPr>
            <w:tcW w:w="17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轻微；一般；严重；特别严重</w:t>
            </w: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655"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21</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拒绝参与水利工程质量事故分析，或者拒绝提出相应的技术处理方案。</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三十</w:t>
            </w:r>
            <w:r>
              <w:rPr>
                <w:rFonts w:hint="eastAsia" w:ascii="仿宋_GB2312" w:hAnsi="仿宋_GB2312" w:eastAsia="仿宋_GB2312" w:cs="仿宋_GB2312"/>
                <w:kern w:val="0"/>
                <w:sz w:val="21"/>
                <w:szCs w:val="21"/>
                <w:highlight w:val="none"/>
              </w:rPr>
              <w:t>条</w:t>
            </w:r>
          </w:p>
        </w:tc>
        <w:tc>
          <w:tcPr>
            <w:tcW w:w="5070" w:type="dxa"/>
            <w:tcBorders>
              <w:top w:val="single" w:color="auto" w:sz="4" w:space="0"/>
              <w:left w:val="nil"/>
              <w:bottom w:val="nil"/>
              <w:right w:val="nil"/>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责令改正。</w:t>
            </w:r>
          </w:p>
        </w:tc>
        <w:tc>
          <w:tcPr>
            <w:tcW w:w="17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轻微；一般；严重；特别严重</w:t>
            </w: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799"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22</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不接受水利工程质量监督机构监督</w:t>
            </w:r>
            <w:r>
              <w:rPr>
                <w:rFonts w:hint="eastAsia" w:ascii="仿宋_GB2312" w:hAnsi="仿宋_GB2312" w:eastAsia="仿宋_GB2312" w:cs="仿宋_GB2312"/>
                <w:kern w:val="0"/>
                <w:sz w:val="21"/>
                <w:szCs w:val="21"/>
                <w:highlight w:val="none"/>
                <w:lang w:eastAsia="zh-CN"/>
              </w:rPr>
              <w:t>。</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五十四</w:t>
            </w:r>
            <w:r>
              <w:rPr>
                <w:rFonts w:hint="eastAsia" w:ascii="仿宋_GB2312" w:hAnsi="仿宋_GB2312" w:eastAsia="仿宋_GB2312" w:cs="仿宋_GB2312"/>
                <w:kern w:val="0"/>
                <w:sz w:val="21"/>
                <w:szCs w:val="21"/>
                <w:highlight w:val="none"/>
              </w:rPr>
              <w:t>条</w:t>
            </w:r>
          </w:p>
        </w:tc>
        <w:tc>
          <w:tcPr>
            <w:tcW w:w="5070" w:type="dxa"/>
            <w:tcBorders>
              <w:top w:val="single" w:color="auto" w:sz="4" w:space="0"/>
              <w:left w:val="nil"/>
              <w:bottom w:val="nil"/>
              <w:right w:val="nil"/>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根据情节轻重，予以通报批评、降低资质等级直至收缴资质证书，经济处理按合同约定办理，触犯法律的，按国家有关法律处理。</w:t>
            </w:r>
          </w:p>
        </w:tc>
        <w:tc>
          <w:tcPr>
            <w:tcW w:w="17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112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523"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23</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原始记录不按照规定记录或者记录不完整</w:t>
            </w:r>
            <w:r>
              <w:rPr>
                <w:rFonts w:hint="eastAsia" w:ascii="仿宋_GB2312" w:hAnsi="仿宋_GB2312" w:eastAsia="仿宋_GB2312" w:cs="仿宋_GB2312"/>
                <w:kern w:val="0"/>
                <w:sz w:val="21"/>
                <w:szCs w:val="21"/>
                <w:highlight w:val="none"/>
                <w:lang w:eastAsia="zh-CN"/>
              </w:rPr>
              <w:t>。</w:t>
            </w:r>
          </w:p>
        </w:tc>
        <w:tc>
          <w:tcPr>
            <w:tcW w:w="3711"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《建设工程勘察质量管理办法》第二十五条</w:t>
            </w:r>
          </w:p>
        </w:tc>
        <w:tc>
          <w:tcPr>
            <w:tcW w:w="5070" w:type="dxa"/>
            <w:vMerge w:val="restart"/>
            <w:tcBorders>
              <w:top w:val="single" w:color="auto" w:sz="4" w:space="0"/>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责令改正，处1万元以上3万元以下的罚款。</w:t>
            </w:r>
          </w:p>
        </w:tc>
        <w:tc>
          <w:tcPr>
            <w:tcW w:w="1763" w:type="dxa"/>
            <w:vMerge w:val="restart"/>
            <w:tcBorders>
              <w:top w:val="nil"/>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一般</w:t>
            </w:r>
          </w:p>
        </w:tc>
        <w:tc>
          <w:tcPr>
            <w:tcW w:w="1126"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w:t>
            </w:r>
          </w:p>
        </w:tc>
        <w:tc>
          <w:tcPr>
            <w:tcW w:w="1135"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w:t>
            </w:r>
          </w:p>
        </w:tc>
        <w:tc>
          <w:tcPr>
            <w:tcW w:w="1154"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w:t>
            </w:r>
          </w:p>
        </w:tc>
      </w:tr>
      <w:tr>
        <w:tblPrEx>
          <w:tblLayout w:type="fixed"/>
          <w:tblCellMar>
            <w:top w:w="0" w:type="dxa"/>
            <w:left w:w="108" w:type="dxa"/>
            <w:bottom w:w="0" w:type="dxa"/>
            <w:right w:w="108" w:type="dxa"/>
          </w:tblCellMar>
        </w:tblPrEx>
        <w:trPr>
          <w:trHeight w:val="469"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24</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勘察文件没有责任人签字或者签字不全</w:t>
            </w:r>
            <w:r>
              <w:rPr>
                <w:rFonts w:hint="eastAsia" w:ascii="仿宋_GB2312" w:hAnsi="仿宋_GB2312" w:eastAsia="仿宋_GB2312" w:cs="仿宋_GB2312"/>
                <w:kern w:val="0"/>
                <w:sz w:val="21"/>
                <w:szCs w:val="21"/>
                <w:highlight w:val="none"/>
                <w:lang w:eastAsia="zh-CN"/>
              </w:rPr>
              <w:t>。</w:t>
            </w:r>
          </w:p>
        </w:tc>
        <w:tc>
          <w:tcPr>
            <w:tcW w:w="3711"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070"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63"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26"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5"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5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455"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25</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不参加应该参加的工程验收</w:t>
            </w:r>
            <w:r>
              <w:rPr>
                <w:rFonts w:hint="eastAsia" w:ascii="仿宋_GB2312" w:hAnsi="仿宋_GB2312" w:eastAsia="仿宋_GB2312" w:cs="仿宋_GB2312"/>
                <w:kern w:val="0"/>
                <w:sz w:val="21"/>
                <w:szCs w:val="21"/>
                <w:highlight w:val="none"/>
                <w:lang w:eastAsia="zh-CN"/>
              </w:rPr>
              <w:t>。</w:t>
            </w:r>
          </w:p>
        </w:tc>
        <w:tc>
          <w:tcPr>
            <w:tcW w:w="3711"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070"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63"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26"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5"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54"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47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26</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项目完成后，勘察文件不归档保存</w:t>
            </w:r>
            <w:r>
              <w:rPr>
                <w:rFonts w:hint="eastAsia" w:ascii="仿宋_GB2312" w:hAnsi="仿宋_GB2312" w:eastAsia="仿宋_GB2312" w:cs="仿宋_GB2312"/>
                <w:kern w:val="0"/>
                <w:sz w:val="21"/>
                <w:szCs w:val="21"/>
                <w:highlight w:val="none"/>
                <w:lang w:eastAsia="zh-CN"/>
              </w:rPr>
              <w:t>。</w:t>
            </w:r>
          </w:p>
        </w:tc>
        <w:tc>
          <w:tcPr>
            <w:tcW w:w="3711" w:type="dxa"/>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《建设工程勘察质量管理办法》第二十五条</w:t>
            </w:r>
          </w:p>
        </w:tc>
        <w:tc>
          <w:tcPr>
            <w:tcW w:w="5070" w:type="dxa"/>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由工程勘察质量监督部门责令改正，处1万元以上3万元以下的罚款。</w:t>
            </w:r>
          </w:p>
        </w:tc>
        <w:tc>
          <w:tcPr>
            <w:tcW w:w="1763"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一般</w:t>
            </w:r>
          </w:p>
        </w:tc>
        <w:tc>
          <w:tcPr>
            <w:tcW w:w="112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w:t>
            </w:r>
          </w:p>
        </w:tc>
      </w:tr>
      <w:tr>
        <w:tblPrEx>
          <w:tblLayout w:type="fixed"/>
          <w:tblCellMar>
            <w:top w:w="0" w:type="dxa"/>
            <w:left w:w="108" w:type="dxa"/>
            <w:bottom w:w="0" w:type="dxa"/>
            <w:right w:w="108" w:type="dxa"/>
          </w:tblCellMar>
        </w:tblPrEx>
        <w:trPr>
          <w:trHeight w:val="120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27</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由于勘测单位责任造成质量事故</w:t>
            </w:r>
            <w:r>
              <w:rPr>
                <w:rFonts w:hint="eastAsia" w:ascii="仿宋_GB2312" w:hAnsi="仿宋_GB2312" w:eastAsia="仿宋_GB2312" w:cs="仿宋_GB2312"/>
                <w:kern w:val="0"/>
                <w:sz w:val="21"/>
                <w:szCs w:val="21"/>
                <w:highlight w:val="none"/>
                <w:lang w:eastAsia="zh-CN"/>
              </w:rPr>
              <w:t>。</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《水利工程质量事故处理暂行规定》第三十三条</w:t>
            </w:r>
          </w:p>
        </w:tc>
        <w:tc>
          <w:tcPr>
            <w:tcW w:w="5070"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令其立即整改并可处以罚款；造成较大以上质量事故的，处以通报批评、停业整顿、降低资质等级、吊销水利工程勘测资格；对主要责任人处以行政处分、取消水利工程勘测执业资格；构成犯罪的，移送司法机关依法处理。</w:t>
            </w:r>
          </w:p>
        </w:tc>
        <w:tc>
          <w:tcPr>
            <w:tcW w:w="176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轻微；一般；严重；特别严重；（符合规定的，列入严重失信主体名单处理）</w:t>
            </w:r>
          </w:p>
        </w:tc>
        <w:tc>
          <w:tcPr>
            <w:tcW w:w="112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864"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8</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未按照规定对从业人员、被派遣劳动者、实习学生进行安全生产教育和培训；未按照规定如实告知有关的安全生产事项</w:t>
            </w:r>
            <w:r>
              <w:rPr>
                <w:rFonts w:hint="eastAsia" w:ascii="仿宋_GB2312" w:hAnsi="仿宋_GB2312" w:eastAsia="仿宋_GB2312" w:cs="仿宋_GB2312"/>
                <w:kern w:val="0"/>
                <w:sz w:val="21"/>
                <w:szCs w:val="21"/>
                <w:highlight w:val="none"/>
                <w:lang w:eastAsia="zh-CN"/>
              </w:rPr>
              <w:t>。</w:t>
            </w:r>
          </w:p>
        </w:tc>
        <w:tc>
          <w:tcPr>
            <w:tcW w:w="3711" w:type="dxa"/>
            <w:vMerge w:val="restart"/>
            <w:tcBorders>
              <w:top w:val="single" w:color="auto" w:sz="4" w:space="0"/>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《安全生产法》第九十七条</w:t>
            </w:r>
          </w:p>
        </w:tc>
        <w:tc>
          <w:tcPr>
            <w:tcW w:w="5070" w:type="dxa"/>
            <w:vMerge w:val="restart"/>
            <w:tcBorders>
              <w:top w:val="single" w:color="auto" w:sz="4" w:space="0"/>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责令限期改正，可以处五万元以下的罚款；逾期未改正的，责令停产停业整顿，并处五万元以上十万元以下的罚款，对其直接负责的主管人员和其他直接责任人员处一万元以上二万元以下的罚款。</w:t>
            </w:r>
          </w:p>
        </w:tc>
        <w:tc>
          <w:tcPr>
            <w:tcW w:w="1763"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w:t>
            </w:r>
          </w:p>
        </w:tc>
        <w:tc>
          <w:tcPr>
            <w:tcW w:w="1126"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2～4</w:t>
            </w:r>
          </w:p>
        </w:tc>
        <w:tc>
          <w:tcPr>
            <w:tcW w:w="1135"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6～9</w:t>
            </w:r>
          </w:p>
        </w:tc>
        <w:tc>
          <w:tcPr>
            <w:tcW w:w="1154"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6～9</w:t>
            </w:r>
          </w:p>
        </w:tc>
      </w:tr>
      <w:tr>
        <w:tblPrEx>
          <w:tblLayout w:type="fixed"/>
          <w:tblCellMar>
            <w:top w:w="0" w:type="dxa"/>
            <w:left w:w="108" w:type="dxa"/>
            <w:bottom w:w="0" w:type="dxa"/>
            <w:right w:w="108" w:type="dxa"/>
          </w:tblCellMar>
        </w:tblPrEx>
        <w:trPr>
          <w:trHeight w:val="684"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9</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特种作业人员未按照规定经专门的安全作业培训并取得相应资格，上岗作业</w:t>
            </w:r>
            <w:r>
              <w:rPr>
                <w:rFonts w:hint="eastAsia" w:ascii="仿宋_GB2312" w:hAnsi="仿宋_GB2312" w:eastAsia="仿宋_GB2312" w:cs="仿宋_GB2312"/>
                <w:kern w:val="0"/>
                <w:sz w:val="21"/>
                <w:szCs w:val="21"/>
                <w:highlight w:val="none"/>
                <w:lang w:eastAsia="zh-CN"/>
              </w:rPr>
              <w:t>。</w:t>
            </w:r>
          </w:p>
        </w:tc>
        <w:tc>
          <w:tcPr>
            <w:tcW w:w="3711"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070"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63"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26"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5"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5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30</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未如实记录安全生产教育和培训情况</w:t>
            </w:r>
            <w:r>
              <w:rPr>
                <w:rFonts w:hint="eastAsia" w:ascii="仿宋_GB2312" w:hAnsi="仿宋_GB2312" w:eastAsia="仿宋_GB2312" w:cs="仿宋_GB2312"/>
                <w:kern w:val="0"/>
                <w:sz w:val="21"/>
                <w:szCs w:val="21"/>
                <w:highlight w:val="none"/>
                <w:lang w:eastAsia="zh-CN"/>
              </w:rPr>
              <w:t>。</w:t>
            </w:r>
          </w:p>
        </w:tc>
        <w:tc>
          <w:tcPr>
            <w:tcW w:w="3711"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070"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63"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26"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5"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5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631"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31</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未将事故隐患排查治理情况如实记录或者未向从业人员通报</w:t>
            </w:r>
            <w:r>
              <w:rPr>
                <w:rFonts w:hint="eastAsia" w:ascii="仿宋_GB2312" w:hAnsi="仿宋_GB2312" w:eastAsia="仿宋_GB2312" w:cs="仿宋_GB2312"/>
                <w:kern w:val="0"/>
                <w:sz w:val="21"/>
                <w:szCs w:val="21"/>
                <w:highlight w:val="none"/>
                <w:lang w:eastAsia="zh-CN"/>
              </w:rPr>
              <w:t>。</w:t>
            </w:r>
          </w:p>
        </w:tc>
        <w:tc>
          <w:tcPr>
            <w:tcW w:w="3711"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070"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63"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26"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5"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5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93"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32</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未按照规定制定生产安全事故应急救援预案或者未定期组织演练</w:t>
            </w:r>
            <w:r>
              <w:rPr>
                <w:rFonts w:hint="eastAsia" w:ascii="仿宋_GB2312" w:hAnsi="仿宋_GB2312" w:eastAsia="仿宋_GB2312" w:cs="仿宋_GB2312"/>
                <w:kern w:val="0"/>
                <w:sz w:val="21"/>
                <w:szCs w:val="21"/>
                <w:highlight w:val="none"/>
                <w:lang w:eastAsia="zh-CN"/>
              </w:rPr>
              <w:t>。</w:t>
            </w:r>
          </w:p>
        </w:tc>
        <w:tc>
          <w:tcPr>
            <w:tcW w:w="3711"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070"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63"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26"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5"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54"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1451"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33</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在有较大危险因素的生产经营场所和有关设施、设备（包括但不限于：施工现场入口处、施工起重机械、临时用电设施、脚手架、出入通道口、楼梯口、电梯井口、孔洞口、桥梁口、隧道口、基坑边沿、爆破物及有害危险气体和液体存放处等危险部位）上设置明显的安全警示标志</w:t>
            </w:r>
            <w:r>
              <w:rPr>
                <w:rFonts w:hint="eastAsia" w:ascii="仿宋_GB2312" w:hAnsi="仿宋_GB2312" w:eastAsia="仿宋_GB2312" w:cs="仿宋_GB2312"/>
                <w:kern w:val="0"/>
                <w:sz w:val="21"/>
                <w:szCs w:val="21"/>
                <w:highlight w:val="none"/>
                <w:lang w:eastAsia="zh-CN"/>
              </w:rPr>
              <w:t>。</w:t>
            </w:r>
          </w:p>
        </w:tc>
        <w:tc>
          <w:tcPr>
            <w:tcW w:w="3711"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《安全生产法》第九十九条</w:t>
            </w:r>
          </w:p>
        </w:tc>
        <w:tc>
          <w:tcPr>
            <w:tcW w:w="5070"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1763" w:type="dxa"/>
            <w:vMerge w:val="restart"/>
            <w:tcBorders>
              <w:top w:val="nil"/>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1126"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135"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54"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1109"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34</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安全设备（包括但不限于：施工起重机械、临时用电设施、脚手架、安全通道、安全护栏、防坠落设施、吊篮、施工机具等）的安装、使用、检测、改造和报废不符合国家标准或者行业标准</w:t>
            </w:r>
            <w:r>
              <w:rPr>
                <w:rFonts w:hint="eastAsia" w:ascii="仿宋_GB2312" w:hAnsi="仿宋_GB2312" w:eastAsia="仿宋_GB2312" w:cs="仿宋_GB2312"/>
                <w:kern w:val="0"/>
                <w:sz w:val="21"/>
                <w:szCs w:val="21"/>
                <w:highlight w:val="none"/>
                <w:lang w:eastAsia="zh-CN"/>
              </w:rPr>
              <w:t>。</w:t>
            </w:r>
          </w:p>
        </w:tc>
        <w:tc>
          <w:tcPr>
            <w:tcW w:w="3711"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070"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63"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26"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5"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5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27"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35</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未对安全设备进行经常性维护、保养和定期检测</w:t>
            </w:r>
            <w:r>
              <w:rPr>
                <w:rFonts w:hint="eastAsia" w:ascii="仿宋_GB2312" w:hAnsi="仿宋_GB2312" w:eastAsia="仿宋_GB2312" w:cs="仿宋_GB2312"/>
                <w:kern w:val="0"/>
                <w:sz w:val="21"/>
                <w:szCs w:val="21"/>
                <w:highlight w:val="none"/>
                <w:lang w:eastAsia="zh-CN"/>
              </w:rPr>
              <w:t>。</w:t>
            </w:r>
          </w:p>
        </w:tc>
        <w:tc>
          <w:tcPr>
            <w:tcW w:w="3711"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070"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63"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26"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5"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5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617"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36</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未为从业人员提供符合国家标准或者行业标准的劳动防护用品</w:t>
            </w:r>
            <w:r>
              <w:rPr>
                <w:rFonts w:hint="eastAsia" w:ascii="仿宋_GB2312" w:hAnsi="仿宋_GB2312" w:eastAsia="仿宋_GB2312" w:cs="仿宋_GB2312"/>
                <w:kern w:val="0"/>
                <w:sz w:val="21"/>
                <w:szCs w:val="21"/>
                <w:highlight w:val="none"/>
                <w:lang w:eastAsia="zh-CN"/>
              </w:rPr>
              <w:t>。</w:t>
            </w:r>
          </w:p>
        </w:tc>
        <w:tc>
          <w:tcPr>
            <w:tcW w:w="3711"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070"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63"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26"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5"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5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56"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7</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使用应当淘汰的危及生产安全的工艺、设备</w:t>
            </w:r>
            <w:r>
              <w:rPr>
                <w:rFonts w:hint="eastAsia" w:ascii="仿宋_GB2312" w:hAnsi="仿宋_GB2312" w:eastAsia="仿宋_GB2312" w:cs="仿宋_GB2312"/>
                <w:kern w:val="0"/>
                <w:sz w:val="21"/>
                <w:szCs w:val="21"/>
                <w:highlight w:val="none"/>
                <w:lang w:eastAsia="zh-CN"/>
              </w:rPr>
              <w:t>。</w:t>
            </w:r>
          </w:p>
        </w:tc>
        <w:tc>
          <w:tcPr>
            <w:tcW w:w="3711"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070"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63"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26"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5"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54"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780" w:hRule="atLeast"/>
          <w:jc w:val="center"/>
        </w:trPr>
        <w:tc>
          <w:tcPr>
            <w:tcW w:w="817"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8</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与从业人员订立协议，免除或者减轻其对从业人员因生产安全事故伤亡依法应承担的责任</w:t>
            </w:r>
            <w:r>
              <w:rPr>
                <w:rFonts w:hint="eastAsia" w:ascii="仿宋_GB2312" w:hAnsi="仿宋_GB2312" w:eastAsia="仿宋_GB2312" w:cs="仿宋_GB2312"/>
                <w:kern w:val="0"/>
                <w:sz w:val="21"/>
                <w:szCs w:val="21"/>
                <w:highlight w:val="none"/>
                <w:lang w:eastAsia="zh-CN"/>
              </w:rPr>
              <w:t>。</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《安全生产法》第一百零六条</w:t>
            </w:r>
          </w:p>
        </w:tc>
        <w:tc>
          <w:tcPr>
            <w:tcW w:w="5070"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该协议无效；对生产经营单位的主要负责人、个人经营的投资人处二万元以上十万元以下的罚款。</w:t>
            </w:r>
          </w:p>
        </w:tc>
        <w:tc>
          <w:tcPr>
            <w:tcW w:w="176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严重</w:t>
            </w:r>
          </w:p>
        </w:tc>
        <w:tc>
          <w:tcPr>
            <w:tcW w:w="112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w:t>
            </w:r>
          </w:p>
        </w:tc>
      </w:tr>
      <w:tr>
        <w:tblPrEx>
          <w:tblLayout w:type="fixed"/>
          <w:tblCellMar>
            <w:top w:w="0" w:type="dxa"/>
            <w:left w:w="108" w:type="dxa"/>
            <w:bottom w:w="0" w:type="dxa"/>
            <w:right w:w="108" w:type="dxa"/>
          </w:tblCellMar>
        </w:tblPrEx>
        <w:trPr>
          <w:trHeight w:val="96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其他</w:t>
            </w:r>
          </w:p>
        </w:tc>
        <w:tc>
          <w:tcPr>
            <w:tcW w:w="710"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9</w:t>
            </w:r>
          </w:p>
        </w:tc>
        <w:tc>
          <w:tcPr>
            <w:tcW w:w="561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在相关信用信息平台中录入的信息或向有关行政部门、专业部门提供的信息存在故意隐瞒真实情况、弄虚作假</w:t>
            </w:r>
            <w:r>
              <w:rPr>
                <w:rFonts w:hint="eastAsia" w:ascii="仿宋_GB2312" w:hAnsi="仿宋_GB2312" w:eastAsia="仿宋_GB2312" w:cs="仿宋_GB2312"/>
                <w:kern w:val="0"/>
                <w:sz w:val="21"/>
                <w:szCs w:val="21"/>
                <w:highlight w:val="none"/>
                <w:lang w:eastAsia="zh-CN"/>
              </w:rPr>
              <w:t>。</w:t>
            </w:r>
          </w:p>
        </w:tc>
        <w:tc>
          <w:tcPr>
            <w:tcW w:w="3711"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xml:space="preserve">《水利部关于促进市场公平竞争维护水利建设市场正常秩序的实施意见》第（十三）条 </w:t>
            </w:r>
          </w:p>
        </w:tc>
        <w:tc>
          <w:tcPr>
            <w:tcW w:w="5070"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对在公告信息中隐瞒真实情况、弄虚作假的，作为严重失信行为列入黑名单。对未建立信用档案的市场主体，各级水行政主管部门可依据有关规定采取相应处理措施。</w:t>
            </w:r>
          </w:p>
        </w:tc>
        <w:tc>
          <w:tcPr>
            <w:tcW w:w="1763"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w:t>
            </w:r>
          </w:p>
        </w:tc>
        <w:tc>
          <w:tcPr>
            <w:tcW w:w="112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13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15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bl>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附表3-3  </w:t>
      </w:r>
      <w:r>
        <w:rPr>
          <w:rFonts w:hint="eastAsia" w:ascii="仿宋_GB2312" w:hAnsi="仿宋_GB2312" w:eastAsia="仿宋_GB2312" w:cs="仿宋_GB2312"/>
          <w:kern w:val="0"/>
          <w:sz w:val="32"/>
          <w:szCs w:val="32"/>
          <w:highlight w:val="none"/>
        </w:rPr>
        <w:t>设计单位不良行为认定标准</w:t>
      </w:r>
    </w:p>
    <w:tbl>
      <w:tblPr>
        <w:tblStyle w:val="6"/>
        <w:tblW w:w="21198" w:type="dxa"/>
        <w:jc w:val="center"/>
        <w:tblInd w:w="0" w:type="dxa"/>
        <w:tblLayout w:type="fixed"/>
        <w:tblCellMar>
          <w:top w:w="0" w:type="dxa"/>
          <w:left w:w="108" w:type="dxa"/>
          <w:bottom w:w="0" w:type="dxa"/>
          <w:right w:w="108" w:type="dxa"/>
        </w:tblCellMar>
      </w:tblPr>
      <w:tblGrid>
        <w:gridCol w:w="777"/>
        <w:gridCol w:w="592"/>
        <w:gridCol w:w="1133"/>
        <w:gridCol w:w="5298"/>
        <w:gridCol w:w="2749"/>
        <w:gridCol w:w="5103"/>
        <w:gridCol w:w="1809"/>
        <w:gridCol w:w="1134"/>
        <w:gridCol w:w="1327"/>
        <w:gridCol w:w="1276"/>
      </w:tblGrid>
      <w:tr>
        <w:tblPrEx>
          <w:tblLayout w:type="fixed"/>
          <w:tblCellMar>
            <w:top w:w="0" w:type="dxa"/>
            <w:left w:w="108" w:type="dxa"/>
            <w:bottom w:w="0" w:type="dxa"/>
            <w:right w:w="108" w:type="dxa"/>
          </w:tblCellMar>
        </w:tblPrEx>
        <w:trPr>
          <w:trHeight w:val="1055" w:hRule="atLeast"/>
          <w:tblHeader/>
          <w:jc w:val="center"/>
        </w:trPr>
        <w:tc>
          <w:tcPr>
            <w:tcW w:w="7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行为类别</w:t>
            </w:r>
          </w:p>
        </w:tc>
        <w:tc>
          <w:tcPr>
            <w:tcW w:w="5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序号</w:t>
            </w:r>
          </w:p>
        </w:tc>
        <w:tc>
          <w:tcPr>
            <w:tcW w:w="6431" w:type="dxa"/>
            <w:gridSpan w:val="2"/>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不良信用行为</w:t>
            </w:r>
          </w:p>
        </w:tc>
        <w:tc>
          <w:tcPr>
            <w:tcW w:w="2749"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法律法规和规章依据</w:t>
            </w:r>
          </w:p>
        </w:tc>
        <w:tc>
          <w:tcPr>
            <w:tcW w:w="5103"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行政处理</w:t>
            </w:r>
          </w:p>
        </w:tc>
        <w:tc>
          <w:tcPr>
            <w:tcW w:w="1809"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不良行为等级</w:t>
            </w: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信用</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扣分值</w:t>
            </w:r>
            <w:r>
              <w:rPr>
                <w:rFonts w:hint="eastAsia" w:ascii="仿宋_GB2312" w:hAnsi="仿宋_GB2312" w:eastAsia="仿宋_GB2312" w:cs="仿宋_GB2312"/>
                <w:b/>
                <w:bCs/>
                <w:kern w:val="0"/>
                <w:sz w:val="21"/>
                <w:szCs w:val="21"/>
                <w:highlight w:val="none"/>
              </w:rPr>
              <w:br w:type="textWrapping"/>
            </w:r>
            <w:r>
              <w:rPr>
                <w:rFonts w:hint="eastAsia" w:ascii="仿宋_GB2312" w:hAnsi="仿宋_GB2312" w:eastAsia="仿宋_GB2312" w:cs="仿宋_GB2312"/>
                <w:b/>
                <w:bCs/>
                <w:kern w:val="0"/>
                <w:sz w:val="21"/>
                <w:szCs w:val="21"/>
                <w:highlight w:val="none"/>
              </w:rPr>
              <w:t>（分）</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信用扣分</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有效期</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（月）</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信用信息</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公告期</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（月）</w:t>
            </w:r>
          </w:p>
        </w:tc>
      </w:tr>
      <w:tr>
        <w:tblPrEx>
          <w:tblLayout w:type="fixed"/>
          <w:tblCellMar>
            <w:top w:w="0" w:type="dxa"/>
            <w:left w:w="108" w:type="dxa"/>
            <w:bottom w:w="0" w:type="dxa"/>
            <w:right w:w="108" w:type="dxa"/>
          </w:tblCellMar>
        </w:tblPrEx>
        <w:trPr>
          <w:trHeight w:val="90" w:hRule="atLeast"/>
          <w:jc w:val="center"/>
        </w:trPr>
        <w:tc>
          <w:tcPr>
            <w:tcW w:w="777" w:type="dxa"/>
            <w:vMerge w:val="restart"/>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资质管理</w:t>
            </w: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w:t>
            </w:r>
          </w:p>
        </w:tc>
        <w:tc>
          <w:tcPr>
            <w:tcW w:w="6431"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超越本单位资质等级承揽工程</w:t>
            </w:r>
            <w:r>
              <w:rPr>
                <w:rFonts w:hint="eastAsia" w:ascii="仿宋_GB2312" w:hAnsi="仿宋_GB2312" w:eastAsia="仿宋_GB2312" w:cs="仿宋_GB2312"/>
                <w:kern w:val="0"/>
                <w:sz w:val="21"/>
                <w:szCs w:val="21"/>
                <w:highlight w:val="none"/>
                <w:lang w:eastAsia="zh-CN"/>
              </w:rPr>
              <w:t>。</w:t>
            </w:r>
          </w:p>
        </w:tc>
        <w:tc>
          <w:tcPr>
            <w:tcW w:w="274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《建设工程质量管理条例》第六十条</w:t>
            </w:r>
          </w:p>
        </w:tc>
        <w:tc>
          <w:tcPr>
            <w:tcW w:w="5103"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责令停止违法行为，处合同约定的设计费1倍以上2倍以下的罚款；可以责令停业整顿，降低资质等级；情节严重的，吊销资质证书；有违法所得的，予以没收。</w:t>
            </w:r>
          </w:p>
        </w:tc>
        <w:tc>
          <w:tcPr>
            <w:tcW w:w="1809"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1063" w:hRule="atLeast"/>
          <w:jc w:val="center"/>
        </w:trPr>
        <w:tc>
          <w:tcPr>
            <w:tcW w:w="777"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w:t>
            </w:r>
          </w:p>
        </w:tc>
        <w:tc>
          <w:tcPr>
            <w:tcW w:w="6431"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未取得资质证书承揽工程</w:t>
            </w:r>
            <w:r>
              <w:rPr>
                <w:rFonts w:hint="eastAsia" w:ascii="仿宋_GB2312" w:hAnsi="仿宋_GB2312" w:eastAsia="仿宋_GB2312" w:cs="仿宋_GB2312"/>
                <w:kern w:val="0"/>
                <w:sz w:val="21"/>
                <w:szCs w:val="21"/>
                <w:highlight w:val="none"/>
                <w:lang w:eastAsia="zh-CN"/>
              </w:rPr>
              <w:t>。</w:t>
            </w:r>
          </w:p>
        </w:tc>
        <w:tc>
          <w:tcPr>
            <w:tcW w:w="274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《建设工程质量管理条例》第六十条</w:t>
            </w:r>
          </w:p>
        </w:tc>
        <w:tc>
          <w:tcPr>
            <w:tcW w:w="5103"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予以取缔，处合同约定的设计费1倍以上2倍以下的罚款；有违法所得的，予以没收。</w:t>
            </w:r>
          </w:p>
        </w:tc>
        <w:tc>
          <w:tcPr>
            <w:tcW w:w="1809"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940" w:hRule="atLeast"/>
          <w:jc w:val="center"/>
        </w:trPr>
        <w:tc>
          <w:tcPr>
            <w:tcW w:w="777"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w:t>
            </w:r>
          </w:p>
        </w:tc>
        <w:tc>
          <w:tcPr>
            <w:tcW w:w="6431"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允许其他单位或者个人以本单位名义承揽工程</w:t>
            </w:r>
            <w:r>
              <w:rPr>
                <w:rFonts w:hint="eastAsia" w:ascii="仿宋_GB2312" w:hAnsi="仿宋_GB2312" w:eastAsia="仿宋_GB2312" w:cs="仿宋_GB2312"/>
                <w:kern w:val="0"/>
                <w:sz w:val="21"/>
                <w:szCs w:val="21"/>
                <w:highlight w:val="none"/>
                <w:lang w:eastAsia="zh-CN"/>
              </w:rPr>
              <w:t>。</w:t>
            </w:r>
          </w:p>
        </w:tc>
        <w:tc>
          <w:tcPr>
            <w:tcW w:w="274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《建设工程质量管理条例》第六十一条</w:t>
            </w:r>
          </w:p>
        </w:tc>
        <w:tc>
          <w:tcPr>
            <w:tcW w:w="5103"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责令改正，没收违法所得，处合同约定的设计费1倍以上2倍以下的罚款；可以责令停业整顿，降低资质等级；情节严重的，吊销资质证书。</w:t>
            </w:r>
          </w:p>
        </w:tc>
        <w:tc>
          <w:tcPr>
            <w:tcW w:w="1809"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w:t>
            </w: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690" w:hRule="atLeast"/>
          <w:jc w:val="center"/>
        </w:trPr>
        <w:tc>
          <w:tcPr>
            <w:tcW w:w="777"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w:t>
            </w:r>
          </w:p>
        </w:tc>
        <w:tc>
          <w:tcPr>
            <w:tcW w:w="6431"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未在规定期限内办理资质变更手续</w:t>
            </w:r>
            <w:r>
              <w:rPr>
                <w:rFonts w:hint="eastAsia" w:ascii="仿宋_GB2312" w:hAnsi="仿宋_GB2312" w:eastAsia="仿宋_GB2312" w:cs="仿宋_GB2312"/>
                <w:kern w:val="0"/>
                <w:sz w:val="21"/>
                <w:szCs w:val="21"/>
                <w:highlight w:val="none"/>
                <w:lang w:eastAsia="zh-CN"/>
              </w:rPr>
              <w:t>。</w:t>
            </w:r>
          </w:p>
        </w:tc>
        <w:tc>
          <w:tcPr>
            <w:tcW w:w="274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《建筑业企业资质管理规定》第三十八条</w:t>
            </w:r>
          </w:p>
        </w:tc>
        <w:tc>
          <w:tcPr>
            <w:tcW w:w="5103"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责令限期办理；逾期不办理的，可处以1000元以上1万元以下的罚款</w:t>
            </w:r>
          </w:p>
        </w:tc>
        <w:tc>
          <w:tcPr>
            <w:tcW w:w="1809"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w:t>
            </w: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2～4</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6～9</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6～9</w:t>
            </w:r>
          </w:p>
        </w:tc>
      </w:tr>
      <w:tr>
        <w:tblPrEx>
          <w:tblLayout w:type="fixed"/>
          <w:tblCellMar>
            <w:top w:w="0" w:type="dxa"/>
            <w:left w:w="108" w:type="dxa"/>
            <w:bottom w:w="0" w:type="dxa"/>
            <w:right w:w="108" w:type="dxa"/>
          </w:tblCellMar>
        </w:tblPrEx>
        <w:trPr>
          <w:trHeight w:val="4826" w:hRule="atLeast"/>
          <w:jc w:val="center"/>
        </w:trPr>
        <w:tc>
          <w:tcPr>
            <w:tcW w:w="777" w:type="dxa"/>
            <w:vMerge w:val="restart"/>
            <w:tcBorders>
              <w:top w:val="nil"/>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w:t>
            </w: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w:t>
            </w:r>
          </w:p>
        </w:tc>
        <w:tc>
          <w:tcPr>
            <w:tcW w:w="6431"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相互串通投标（包括但不限于：1.投标人之间协商投标报价等投标文件的实质性内容；2.投标人之间约定中标人；3.投标人之间约定部分投标人放弃投标或者中标；4.属于同一集团、协会、商会等组织成员的投标人按照该组织要求协同投标；5.投标人之间为谋取中标或者排斥特定投标人而采取的其他联合行动；6.不同投标人的投标文件由同一单位或者个人编制；7.不同投标人委托同一单位或者个人办理投标事宜；8.不同投标人的投标文件载明的项目管理成员为同一人；9.不同投标人的投标文件异常一致或者投标报价呈规律性差异；10.不同投标人的投标文件相互混装；11.不同投标人的投标保证金从同一单位或者个人的账户转出；不同投标人编制的投标文件的实质性内容存在两处以上细节错误一致；12.不同投标人的投标文件由同一电子设备编制、打包加密或者上传，不同投标人的投标文件由同一投标人的电子设备打印、复印；13.不同投标人的投标文件由同一投标人送达或者分发；14.参加投标活动的人员为同一标段其他投标人的在职人员；15.不同投标人的投标保证金从投标人各自的基本账户转出，但是，所需资金来自同一单位或者个人账户。）</w:t>
            </w:r>
          </w:p>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以向招标人或者评标委员会成员行贿等不正当手段谋取中标</w:t>
            </w:r>
            <w:r>
              <w:rPr>
                <w:rFonts w:hint="eastAsia" w:ascii="仿宋_GB2312" w:hAnsi="仿宋_GB2312" w:eastAsia="仿宋_GB2312" w:cs="仿宋_GB2312"/>
                <w:kern w:val="0"/>
                <w:sz w:val="21"/>
                <w:szCs w:val="21"/>
                <w:highlight w:val="none"/>
                <w:lang w:eastAsia="zh-CN"/>
              </w:rPr>
              <w:t>。</w:t>
            </w:r>
          </w:p>
        </w:tc>
        <w:tc>
          <w:tcPr>
            <w:tcW w:w="274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《招标投标法》第五十三条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《招标投标法实施条例》第三十九条、第四十条、第六十七条</w:t>
            </w:r>
          </w:p>
        </w:tc>
        <w:tc>
          <w:tcPr>
            <w:tcW w:w="5103"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xml:space="preserve">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 </w:t>
            </w:r>
          </w:p>
        </w:tc>
        <w:tc>
          <w:tcPr>
            <w:tcW w:w="1809"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2866"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w:t>
            </w:r>
          </w:p>
        </w:tc>
        <w:tc>
          <w:tcPr>
            <w:tcW w:w="6431"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以他人名义投标（包括但不限于：使用通过受让或者租借等方式获取的资格、资质证书投标的）；以其他方式弄虚作假，骗取中标（包括但不限于：1.使用伪造、变造的许可证件；2.提供虚假的财务状况或者业绩；3.提供虚假的项目负责人或者主要技术人员简历、劳动关系证明；4.提供虚假的信用状况；5.使用通过受让或者租借等方式获取的资格、资质证书投标；6.其他弄虚作假的行为。）</w:t>
            </w:r>
          </w:p>
        </w:tc>
        <w:tc>
          <w:tcPr>
            <w:tcW w:w="274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《招标投标法》第五十四条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《招标投标法实施条例》第四十二条、第六十八条</w:t>
            </w:r>
          </w:p>
        </w:tc>
        <w:tc>
          <w:tcPr>
            <w:tcW w:w="5103"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中标无效，给招标人造成损失的，依法承担赔偿责任；构成犯罪的，依法追究刑事责任。</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 xml:space="preserve">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 </w:t>
            </w:r>
          </w:p>
        </w:tc>
        <w:tc>
          <w:tcPr>
            <w:tcW w:w="1809"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27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1131"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7</w:t>
            </w:r>
          </w:p>
        </w:tc>
        <w:tc>
          <w:tcPr>
            <w:tcW w:w="6431"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将中标项目转让给他人；将中标项目肢解后分别转让给他人；违反本法规定将中标项目的部分主体、关键性工作分包给他人；分包人再次分包</w:t>
            </w:r>
            <w:r>
              <w:rPr>
                <w:rFonts w:hint="eastAsia" w:ascii="仿宋_GB2312" w:hAnsi="仿宋_GB2312" w:eastAsia="仿宋_GB2312" w:cs="仿宋_GB2312"/>
                <w:kern w:val="0"/>
                <w:sz w:val="21"/>
                <w:szCs w:val="21"/>
                <w:highlight w:val="none"/>
                <w:lang w:eastAsia="zh-CN"/>
              </w:rPr>
              <w:t>。</w:t>
            </w:r>
          </w:p>
        </w:tc>
        <w:tc>
          <w:tcPr>
            <w:tcW w:w="274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《招标投标法》第五十八条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《建设工程质量管理条例》第六十二条</w:t>
            </w:r>
          </w:p>
        </w:tc>
        <w:tc>
          <w:tcPr>
            <w:tcW w:w="5103"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转让、分包无效，责令改正，没收违法所得，处合同约定的设计费25％以上50％以下的罚款；可以责令停业整顿，降低资质等级；情节严重的，吊销资质证书。</w:t>
            </w:r>
          </w:p>
        </w:tc>
        <w:tc>
          <w:tcPr>
            <w:tcW w:w="1809"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w:t>
            </w: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27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1491"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8</w:t>
            </w:r>
          </w:p>
        </w:tc>
        <w:tc>
          <w:tcPr>
            <w:tcW w:w="6431"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中标人无正当理由不与招标人订立合同；在签订合同时向招标人提出附加条件；不按照招标文件要求提交履约保证金</w:t>
            </w:r>
            <w:r>
              <w:rPr>
                <w:rFonts w:hint="eastAsia" w:ascii="仿宋_GB2312" w:hAnsi="仿宋_GB2312" w:eastAsia="仿宋_GB2312" w:cs="仿宋_GB2312"/>
                <w:kern w:val="0"/>
                <w:sz w:val="21"/>
                <w:szCs w:val="21"/>
                <w:highlight w:val="none"/>
                <w:lang w:eastAsia="zh-CN"/>
              </w:rPr>
              <w:t>。</w:t>
            </w:r>
          </w:p>
        </w:tc>
        <w:tc>
          <w:tcPr>
            <w:tcW w:w="274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《招标投标法》第五十九条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《招标投标法实施条例》第七十四条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《工程建设项目勘察设计招标投标办法》第五十五条</w:t>
            </w:r>
          </w:p>
        </w:tc>
        <w:tc>
          <w:tcPr>
            <w:tcW w:w="5103"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取消其中标资格，投标保证金不予退还。对依法必须进行招标的项目的中标人，由有关行政监督部门责令改正，可以处中标项目金额10‰以下的罚款。</w:t>
            </w:r>
          </w:p>
        </w:tc>
        <w:tc>
          <w:tcPr>
            <w:tcW w:w="1809"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严重；特别严重</w:t>
            </w: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12～18</w:t>
            </w:r>
          </w:p>
        </w:tc>
        <w:tc>
          <w:tcPr>
            <w:tcW w:w="127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12～18</w:t>
            </w:r>
          </w:p>
        </w:tc>
      </w:tr>
      <w:tr>
        <w:tblPrEx>
          <w:tblLayout w:type="fixed"/>
          <w:tblCellMar>
            <w:top w:w="0" w:type="dxa"/>
            <w:left w:w="108" w:type="dxa"/>
            <w:bottom w:w="0" w:type="dxa"/>
            <w:right w:w="108" w:type="dxa"/>
          </w:tblCellMar>
        </w:tblPrEx>
        <w:trPr>
          <w:trHeight w:val="908"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w:t>
            </w:r>
          </w:p>
        </w:tc>
        <w:tc>
          <w:tcPr>
            <w:tcW w:w="6431"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与招标人订立合同的主要条款与招标文件、中标人的投标文件的内容不一致</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；或者招标人、中标人订立背离合同实质性内容的协议的</w:t>
            </w:r>
            <w:r>
              <w:rPr>
                <w:rFonts w:hint="eastAsia" w:ascii="仿宋_GB2312" w:hAnsi="仿宋_GB2312" w:eastAsia="仿宋_GB2312" w:cs="仿宋_GB2312"/>
                <w:kern w:val="0"/>
                <w:sz w:val="21"/>
                <w:szCs w:val="21"/>
                <w:highlight w:val="none"/>
                <w:lang w:eastAsia="zh-CN"/>
              </w:rPr>
              <w:t>。</w:t>
            </w:r>
          </w:p>
        </w:tc>
        <w:tc>
          <w:tcPr>
            <w:tcW w:w="274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《招标投标法》第五十九条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《招标投标法实施条例》第七十五条</w:t>
            </w:r>
          </w:p>
        </w:tc>
        <w:tc>
          <w:tcPr>
            <w:tcW w:w="5103"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责令改正，可以处中标项目金额5‰以上10‰以下的罚款。</w:t>
            </w:r>
          </w:p>
        </w:tc>
        <w:tc>
          <w:tcPr>
            <w:tcW w:w="1809"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27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1170"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6431"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以联合体形式投标，联合体成员未向招标人提交共同投标协议且又以自己名义单独投标；或者参加其他联合体投同一个标</w:t>
            </w:r>
            <w:r>
              <w:rPr>
                <w:rFonts w:hint="eastAsia" w:ascii="仿宋_GB2312" w:hAnsi="仿宋_GB2312" w:eastAsia="仿宋_GB2312" w:cs="仿宋_GB2312"/>
                <w:kern w:val="0"/>
                <w:sz w:val="21"/>
                <w:szCs w:val="21"/>
                <w:highlight w:val="none"/>
                <w:lang w:eastAsia="zh-CN"/>
              </w:rPr>
              <w:t>。</w:t>
            </w:r>
          </w:p>
        </w:tc>
        <w:tc>
          <w:tcPr>
            <w:tcW w:w="274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《水利工程建设项目勘察（测）设计招标投标管理办法》第四十一条第一款、第六十一条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《工程建设项目勘察设计招标投标办法》第二十七条</w:t>
            </w:r>
          </w:p>
        </w:tc>
        <w:tc>
          <w:tcPr>
            <w:tcW w:w="5103"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废标处理或被否决</w:t>
            </w:r>
            <w:r>
              <w:rPr>
                <w:rFonts w:hint="eastAsia" w:ascii="仿宋_GB2312" w:hAnsi="仿宋_GB2312" w:eastAsia="仿宋_GB2312" w:cs="仿宋_GB2312"/>
                <w:kern w:val="0"/>
                <w:sz w:val="21"/>
                <w:szCs w:val="21"/>
                <w:highlight w:val="none"/>
                <w:lang w:eastAsia="zh-CN"/>
              </w:rPr>
              <w:t>。</w:t>
            </w:r>
          </w:p>
        </w:tc>
        <w:tc>
          <w:tcPr>
            <w:tcW w:w="1809"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严重</w:t>
            </w: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w:t>
            </w:r>
          </w:p>
        </w:tc>
        <w:tc>
          <w:tcPr>
            <w:tcW w:w="127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w:t>
            </w:r>
          </w:p>
        </w:tc>
      </w:tr>
      <w:tr>
        <w:tblPrEx>
          <w:tblLayout w:type="fixed"/>
          <w:tblCellMar>
            <w:top w:w="0" w:type="dxa"/>
            <w:left w:w="108" w:type="dxa"/>
            <w:bottom w:w="0" w:type="dxa"/>
            <w:right w:w="108" w:type="dxa"/>
          </w:tblCellMar>
        </w:tblPrEx>
        <w:trPr>
          <w:trHeight w:val="1532"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11</w:t>
            </w:r>
          </w:p>
        </w:tc>
        <w:tc>
          <w:tcPr>
            <w:tcW w:w="6431"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捏造或者虚构事项投诉干扰招标工作正常进行</w:t>
            </w:r>
            <w:r>
              <w:rPr>
                <w:rFonts w:hint="eastAsia" w:ascii="仿宋_GB2312" w:hAnsi="仿宋_GB2312" w:eastAsia="仿宋_GB2312" w:cs="仿宋_GB2312"/>
                <w:kern w:val="0"/>
                <w:sz w:val="21"/>
                <w:szCs w:val="21"/>
                <w:highlight w:val="none"/>
                <w:lang w:eastAsia="zh-CN"/>
              </w:rPr>
              <w:t>。</w:t>
            </w:r>
          </w:p>
        </w:tc>
        <w:tc>
          <w:tcPr>
            <w:tcW w:w="274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《招标投标法实施条例》第七十七条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《工程建设项目招标投标活动投诉处理办法》（国家七部委11号令）第二十六条</w:t>
            </w:r>
          </w:p>
        </w:tc>
        <w:tc>
          <w:tcPr>
            <w:tcW w:w="5103"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由行政监督部门驳回投诉，并给予警告；情节严重的，可以并处一万元以下罚款。</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给他人造成损失的，依法承担赔偿责任。</w:t>
            </w:r>
          </w:p>
        </w:tc>
        <w:tc>
          <w:tcPr>
            <w:tcW w:w="1809"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w:t>
            </w: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27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689"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12</w:t>
            </w:r>
          </w:p>
        </w:tc>
        <w:tc>
          <w:tcPr>
            <w:tcW w:w="1133" w:type="dxa"/>
            <w:vMerge w:val="restart"/>
            <w:tcBorders>
              <w:top w:val="nil"/>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非因不可抗力原因和招标人原因，不按照与招标人订立的合同履行义务（包括但不限于）</w:t>
            </w:r>
          </w:p>
        </w:tc>
        <w:tc>
          <w:tcPr>
            <w:tcW w:w="529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未按照审查意见修改项目建议书、可行性研究报告和初步设计报告，且无合理原因的</w:t>
            </w:r>
            <w:r>
              <w:rPr>
                <w:rFonts w:hint="eastAsia" w:ascii="仿宋_GB2312" w:hAnsi="仿宋_GB2312" w:eastAsia="仿宋_GB2312" w:cs="仿宋_GB2312"/>
                <w:kern w:val="0"/>
                <w:sz w:val="21"/>
                <w:szCs w:val="21"/>
                <w:highlight w:val="none"/>
                <w:lang w:eastAsia="zh-CN"/>
              </w:rPr>
              <w:t>。</w:t>
            </w:r>
          </w:p>
        </w:tc>
        <w:tc>
          <w:tcPr>
            <w:tcW w:w="274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《招标投标法》第六十条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设计单位与项目法人签订的设计合同</w:t>
            </w:r>
          </w:p>
        </w:tc>
        <w:tc>
          <w:tcPr>
            <w:tcW w:w="510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履约保证金不予退还，给招标人造成的损失超过履约保证金数额的，还应当对超过部分予以赔偿；没有提交履约保证金的，应当对招标人的损失承担赔偿责任。</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 xml:space="preserve">情节严重的，取消其二年至五年内参加依法必须进行招标的项目的投标资格并予以公告，直至由工商行政管理机关吊销营业执照。 </w:t>
            </w:r>
          </w:p>
        </w:tc>
        <w:tc>
          <w:tcPr>
            <w:tcW w:w="180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轻微（不予行政处理的不予公告）；一般；严重；特别严重（符合规定的，列入严重失信主体名单处理）</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0～18</w:t>
            </w:r>
          </w:p>
        </w:tc>
      </w:tr>
      <w:tr>
        <w:tblPrEx>
          <w:tblLayout w:type="fixed"/>
          <w:tblCellMar>
            <w:top w:w="0" w:type="dxa"/>
            <w:left w:w="108" w:type="dxa"/>
            <w:bottom w:w="0" w:type="dxa"/>
            <w:right w:w="108" w:type="dxa"/>
          </w:tblCellMar>
        </w:tblPrEx>
        <w:trPr>
          <w:trHeight w:val="689"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13</w:t>
            </w:r>
          </w:p>
        </w:tc>
        <w:tc>
          <w:tcPr>
            <w:tcW w:w="1133"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29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未按照初步设计及概算批复意见编制施工图，出现漏项或者违背科学经济合理设计原则，造成重大变更或者工期延误或者重大损失的</w:t>
            </w:r>
            <w:r>
              <w:rPr>
                <w:rFonts w:hint="eastAsia" w:ascii="仿宋_GB2312" w:hAnsi="仿宋_GB2312" w:eastAsia="仿宋_GB2312" w:cs="仿宋_GB2312"/>
                <w:kern w:val="0"/>
                <w:sz w:val="21"/>
                <w:szCs w:val="21"/>
                <w:highlight w:val="none"/>
                <w:lang w:eastAsia="zh-CN"/>
              </w:rPr>
              <w:t>。</w:t>
            </w:r>
          </w:p>
        </w:tc>
        <w:tc>
          <w:tcPr>
            <w:tcW w:w="274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10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689"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14</w:t>
            </w:r>
          </w:p>
        </w:tc>
        <w:tc>
          <w:tcPr>
            <w:tcW w:w="1133"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29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施工图明显滞后供图计划或设计变更资料提交不及时，设计变更内容不合理，由于设计单位的原因导致设计变更程序不规范</w:t>
            </w:r>
            <w:r>
              <w:rPr>
                <w:rFonts w:hint="eastAsia" w:ascii="仿宋_GB2312" w:hAnsi="仿宋_GB2312" w:eastAsia="仿宋_GB2312" w:cs="仿宋_GB2312"/>
                <w:kern w:val="0"/>
                <w:sz w:val="21"/>
                <w:szCs w:val="21"/>
                <w:highlight w:val="none"/>
                <w:lang w:eastAsia="zh-CN"/>
              </w:rPr>
              <w:t>。</w:t>
            </w:r>
          </w:p>
        </w:tc>
        <w:tc>
          <w:tcPr>
            <w:tcW w:w="274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10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459"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15</w:t>
            </w:r>
          </w:p>
        </w:tc>
        <w:tc>
          <w:tcPr>
            <w:tcW w:w="1133"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29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未及时进行设计交底</w:t>
            </w:r>
            <w:r>
              <w:rPr>
                <w:rFonts w:hint="eastAsia" w:ascii="仿宋_GB2312" w:hAnsi="仿宋_GB2312" w:eastAsia="仿宋_GB2312" w:cs="仿宋_GB2312"/>
                <w:kern w:val="0"/>
                <w:sz w:val="21"/>
                <w:szCs w:val="21"/>
                <w:highlight w:val="none"/>
                <w:lang w:eastAsia="zh-CN"/>
              </w:rPr>
              <w:t>。</w:t>
            </w:r>
          </w:p>
        </w:tc>
        <w:tc>
          <w:tcPr>
            <w:tcW w:w="274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10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431"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16</w:t>
            </w:r>
          </w:p>
        </w:tc>
        <w:tc>
          <w:tcPr>
            <w:tcW w:w="1133"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29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未配合竣工图编制或验收</w:t>
            </w:r>
            <w:r>
              <w:rPr>
                <w:rFonts w:hint="eastAsia" w:ascii="仿宋_GB2312" w:hAnsi="仿宋_GB2312" w:eastAsia="仿宋_GB2312" w:cs="仿宋_GB2312"/>
                <w:kern w:val="0"/>
                <w:sz w:val="21"/>
                <w:szCs w:val="21"/>
                <w:highlight w:val="none"/>
                <w:lang w:eastAsia="zh-CN"/>
              </w:rPr>
              <w:t>。</w:t>
            </w:r>
          </w:p>
        </w:tc>
        <w:tc>
          <w:tcPr>
            <w:tcW w:w="274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10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478"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17</w:t>
            </w:r>
          </w:p>
        </w:tc>
        <w:tc>
          <w:tcPr>
            <w:tcW w:w="1133"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29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未按照合同约定投入设计人员</w:t>
            </w:r>
            <w:r>
              <w:rPr>
                <w:rFonts w:hint="eastAsia" w:ascii="仿宋_GB2312" w:hAnsi="仿宋_GB2312" w:eastAsia="仿宋_GB2312" w:cs="仿宋_GB2312"/>
                <w:kern w:val="0"/>
                <w:sz w:val="21"/>
                <w:szCs w:val="21"/>
                <w:highlight w:val="none"/>
                <w:lang w:eastAsia="zh-CN"/>
              </w:rPr>
              <w:t>。</w:t>
            </w:r>
          </w:p>
        </w:tc>
        <w:tc>
          <w:tcPr>
            <w:tcW w:w="274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10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689"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18</w:t>
            </w:r>
          </w:p>
        </w:tc>
        <w:tc>
          <w:tcPr>
            <w:tcW w:w="1133"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29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合同约定派出现场设计代表，或者设计代表履职明显不到位（包括但不限于：驻场服务时间不符合合同约定、无现场服务记录、未参加应该参与的验收，未配合项目法人或施工单位及时解决设计文件的问题而影响工程质量及进度）</w:t>
            </w:r>
            <w:r>
              <w:rPr>
                <w:rFonts w:hint="eastAsia" w:ascii="仿宋_GB2312" w:hAnsi="仿宋_GB2312" w:eastAsia="仿宋_GB2312" w:cs="仿宋_GB2312"/>
                <w:kern w:val="0"/>
                <w:sz w:val="21"/>
                <w:szCs w:val="21"/>
                <w:highlight w:val="none"/>
                <w:lang w:eastAsia="zh-CN"/>
              </w:rPr>
              <w:t>。</w:t>
            </w:r>
          </w:p>
        </w:tc>
        <w:tc>
          <w:tcPr>
            <w:tcW w:w="274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10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88"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19</w:t>
            </w:r>
          </w:p>
        </w:tc>
        <w:tc>
          <w:tcPr>
            <w:tcW w:w="1133"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29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由于设计不合理造成工程质量缺陷</w:t>
            </w:r>
            <w:r>
              <w:rPr>
                <w:rFonts w:hint="eastAsia" w:ascii="仿宋_GB2312" w:hAnsi="仿宋_GB2312" w:eastAsia="仿宋_GB2312" w:cs="仿宋_GB2312"/>
                <w:kern w:val="0"/>
                <w:sz w:val="21"/>
                <w:szCs w:val="21"/>
                <w:highlight w:val="none"/>
                <w:lang w:eastAsia="zh-CN"/>
              </w:rPr>
              <w:t>。</w:t>
            </w:r>
          </w:p>
        </w:tc>
        <w:tc>
          <w:tcPr>
            <w:tcW w:w="274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10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689" w:hRule="atLeast"/>
          <w:jc w:val="center"/>
        </w:trPr>
        <w:tc>
          <w:tcPr>
            <w:tcW w:w="777" w:type="dxa"/>
            <w:vMerge w:val="restart"/>
            <w:tcBorders>
              <w:top w:val="nil"/>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质量安全</w:t>
            </w: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20</w:t>
            </w:r>
          </w:p>
        </w:tc>
        <w:tc>
          <w:tcPr>
            <w:tcW w:w="6431"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未根据勘察成果文件进行工程设计</w:t>
            </w:r>
            <w:r>
              <w:rPr>
                <w:rFonts w:hint="eastAsia" w:ascii="仿宋_GB2312" w:hAnsi="仿宋_GB2312" w:eastAsia="仿宋_GB2312" w:cs="仿宋_GB2312"/>
                <w:kern w:val="0"/>
                <w:sz w:val="21"/>
                <w:szCs w:val="21"/>
                <w:highlight w:val="none"/>
                <w:lang w:eastAsia="zh-CN"/>
              </w:rPr>
              <w:t>。</w:t>
            </w:r>
          </w:p>
        </w:tc>
        <w:tc>
          <w:tcPr>
            <w:tcW w:w="2749"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《建设工程质量管理条例》第六十三条</w:t>
            </w:r>
          </w:p>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二十六</w:t>
            </w:r>
            <w:r>
              <w:rPr>
                <w:rFonts w:hint="eastAsia" w:ascii="仿宋_GB2312" w:hAnsi="仿宋_GB2312" w:eastAsia="仿宋_GB2312" w:cs="仿宋_GB2312"/>
                <w:kern w:val="0"/>
                <w:sz w:val="21"/>
                <w:szCs w:val="21"/>
                <w:highlight w:val="none"/>
              </w:rPr>
              <w:t>条</w:t>
            </w:r>
          </w:p>
        </w:tc>
        <w:tc>
          <w:tcPr>
            <w:tcW w:w="5103"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责令改正，处10万元以上30万元以下的罚款；造成工程质量事故的，责令停业整顿，降低资质等级；情节严重的，吊销资质证书；造成损失的，依法承担赔偿责任。</w:t>
            </w:r>
          </w:p>
        </w:tc>
        <w:tc>
          <w:tcPr>
            <w:tcW w:w="1809" w:type="dxa"/>
            <w:vMerge w:val="restart"/>
            <w:tcBorders>
              <w:top w:val="nil"/>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一般；严重；特别严重</w:t>
            </w:r>
          </w:p>
        </w:tc>
        <w:tc>
          <w:tcPr>
            <w:tcW w:w="1134"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4～10</w:t>
            </w:r>
          </w:p>
        </w:tc>
        <w:tc>
          <w:tcPr>
            <w:tcW w:w="1327"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c>
          <w:tcPr>
            <w:tcW w:w="1276"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r>
      <w:tr>
        <w:tblPrEx>
          <w:tblLayout w:type="fixed"/>
          <w:tblCellMar>
            <w:top w:w="0" w:type="dxa"/>
            <w:left w:w="108" w:type="dxa"/>
            <w:bottom w:w="0" w:type="dxa"/>
            <w:right w:w="108" w:type="dxa"/>
          </w:tblCellMar>
        </w:tblPrEx>
        <w:trPr>
          <w:trHeight w:val="591"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21</w:t>
            </w:r>
          </w:p>
        </w:tc>
        <w:tc>
          <w:tcPr>
            <w:tcW w:w="6431"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指定建筑材料、建筑构配件的生产厂、供应商</w:t>
            </w:r>
            <w:r>
              <w:rPr>
                <w:rFonts w:hint="eastAsia" w:ascii="仿宋_GB2312" w:hAnsi="仿宋_GB2312" w:eastAsia="仿宋_GB2312" w:cs="仿宋_GB2312"/>
                <w:kern w:val="0"/>
                <w:sz w:val="21"/>
                <w:szCs w:val="21"/>
                <w:highlight w:val="none"/>
                <w:lang w:eastAsia="zh-CN"/>
              </w:rPr>
              <w:t>。</w:t>
            </w:r>
          </w:p>
        </w:tc>
        <w:tc>
          <w:tcPr>
            <w:tcW w:w="2749"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103"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809"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327"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276"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1461"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22</w:t>
            </w:r>
          </w:p>
        </w:tc>
        <w:tc>
          <w:tcPr>
            <w:tcW w:w="6431"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未按照工程建设强制性标准进行设计</w:t>
            </w:r>
            <w:r>
              <w:rPr>
                <w:rFonts w:hint="eastAsia" w:ascii="仿宋_GB2312" w:hAnsi="仿宋_GB2312" w:eastAsia="仿宋_GB2312" w:cs="仿宋_GB2312"/>
                <w:kern w:val="0"/>
                <w:sz w:val="21"/>
                <w:szCs w:val="21"/>
                <w:highlight w:val="none"/>
                <w:lang w:eastAsia="zh-CN"/>
              </w:rPr>
              <w:t>。</w:t>
            </w:r>
          </w:p>
        </w:tc>
        <w:tc>
          <w:tcPr>
            <w:tcW w:w="274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《建设工程安全生产管理条例》第五十六条</w:t>
            </w:r>
          </w:p>
        </w:tc>
        <w:tc>
          <w:tcPr>
            <w:tcW w:w="5103"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责令改正，处10万元以上30万元以下的罚款；造成工程质量事故的，责令停业整顿，降低资质等级；情节严重的，吊销资质证书；造成损失的，依法承担赔偿责任。</w:t>
            </w:r>
          </w:p>
        </w:tc>
        <w:tc>
          <w:tcPr>
            <w:tcW w:w="1809"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一般；严重；特别严重</w:t>
            </w: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r>
      <w:tr>
        <w:tblPrEx>
          <w:tblLayout w:type="fixed"/>
          <w:tblCellMar>
            <w:top w:w="0" w:type="dxa"/>
            <w:left w:w="108" w:type="dxa"/>
            <w:bottom w:w="0" w:type="dxa"/>
            <w:right w:w="108" w:type="dxa"/>
          </w:tblCellMar>
        </w:tblPrEx>
        <w:trPr>
          <w:trHeight w:val="670"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23</w:t>
            </w:r>
          </w:p>
        </w:tc>
        <w:tc>
          <w:tcPr>
            <w:tcW w:w="643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未</w:t>
            </w:r>
            <w:r>
              <w:rPr>
                <w:rFonts w:hint="eastAsia" w:ascii="仿宋_GB2312" w:hAnsi="仿宋_GB2312" w:eastAsia="仿宋_GB2312" w:cs="仿宋_GB2312"/>
                <w:kern w:val="0"/>
                <w:sz w:val="21"/>
                <w:szCs w:val="21"/>
                <w:highlight w:val="none"/>
              </w:rPr>
              <w:t>依照有关规定建立健全设计质量管理体系，</w:t>
            </w:r>
            <w:r>
              <w:rPr>
                <w:rFonts w:hint="eastAsia" w:ascii="仿宋_GB2312" w:hAnsi="仿宋_GB2312" w:eastAsia="仿宋_GB2312" w:cs="仿宋_GB2312"/>
                <w:kern w:val="0"/>
                <w:sz w:val="21"/>
                <w:szCs w:val="21"/>
                <w:highlight w:val="none"/>
                <w:lang w:val="en-US" w:eastAsia="zh-CN"/>
              </w:rPr>
              <w:t>或者未</w:t>
            </w:r>
            <w:r>
              <w:rPr>
                <w:rFonts w:hint="eastAsia" w:ascii="仿宋_GB2312" w:hAnsi="仿宋_GB2312" w:eastAsia="仿宋_GB2312" w:cs="仿宋_GB2312"/>
                <w:kern w:val="0"/>
                <w:sz w:val="21"/>
                <w:szCs w:val="21"/>
                <w:highlight w:val="none"/>
              </w:rPr>
              <w:t>严格执行设计文件的校审、会签、批准制度</w:t>
            </w:r>
            <w:r>
              <w:rPr>
                <w:rFonts w:hint="eastAsia" w:ascii="仿宋_GB2312" w:hAnsi="仿宋_GB2312" w:eastAsia="仿宋_GB2312" w:cs="仿宋_GB2312"/>
                <w:kern w:val="0"/>
                <w:sz w:val="21"/>
                <w:szCs w:val="21"/>
                <w:highlight w:val="none"/>
                <w:lang w:eastAsia="zh-CN"/>
              </w:rPr>
              <w:t>。</w:t>
            </w:r>
          </w:p>
        </w:tc>
        <w:tc>
          <w:tcPr>
            <w:tcW w:w="274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二十三</w:t>
            </w:r>
            <w:r>
              <w:rPr>
                <w:rFonts w:hint="eastAsia" w:ascii="仿宋_GB2312" w:hAnsi="仿宋_GB2312" w:eastAsia="仿宋_GB2312" w:cs="仿宋_GB2312"/>
                <w:kern w:val="0"/>
                <w:sz w:val="21"/>
                <w:szCs w:val="21"/>
                <w:highlight w:val="none"/>
              </w:rPr>
              <w:t>条</w:t>
            </w:r>
          </w:p>
        </w:tc>
        <w:tc>
          <w:tcPr>
            <w:tcW w:w="510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责令改正。</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2</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6</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6</w:t>
            </w:r>
          </w:p>
        </w:tc>
      </w:tr>
      <w:tr>
        <w:tblPrEx>
          <w:tblLayout w:type="fixed"/>
          <w:tblCellMar>
            <w:top w:w="0" w:type="dxa"/>
            <w:left w:w="108" w:type="dxa"/>
            <w:bottom w:w="0" w:type="dxa"/>
            <w:right w:w="108" w:type="dxa"/>
          </w:tblCellMar>
        </w:tblPrEx>
        <w:trPr>
          <w:trHeight w:val="510"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vMerge w:val="restart"/>
            <w:tcBorders>
              <w:top w:val="nil"/>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24</w:t>
            </w:r>
          </w:p>
        </w:tc>
        <w:tc>
          <w:tcPr>
            <w:tcW w:w="6431" w:type="dxa"/>
            <w:gridSpan w:val="2"/>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240" w:lineRule="auto"/>
              <w:ind w:left="0" w:leftChars="0" w:firstLine="0" w:firstLineChars="0"/>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bidi="ar-SA"/>
              </w:rPr>
              <w:t>提交的设计文件不符合相关技术标准规定的设计深度要求，或者未注明工程及其水工建筑物合理使用年限。</w:t>
            </w:r>
          </w:p>
        </w:tc>
        <w:tc>
          <w:tcPr>
            <w:tcW w:w="2749" w:type="dxa"/>
            <w:vMerge w:val="restart"/>
            <w:tcBorders>
              <w:top w:val="single" w:color="auto" w:sz="4" w:space="0"/>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二十五</w:t>
            </w:r>
            <w:r>
              <w:rPr>
                <w:rFonts w:hint="eastAsia" w:ascii="仿宋_GB2312" w:hAnsi="仿宋_GB2312" w:eastAsia="仿宋_GB2312" w:cs="仿宋_GB2312"/>
                <w:kern w:val="0"/>
                <w:sz w:val="21"/>
                <w:szCs w:val="21"/>
                <w:highlight w:val="none"/>
              </w:rPr>
              <w:t>条</w:t>
            </w:r>
          </w:p>
        </w:tc>
        <w:tc>
          <w:tcPr>
            <w:tcW w:w="5103" w:type="dxa"/>
            <w:vMerge w:val="restart"/>
            <w:tcBorders>
              <w:top w:val="single" w:color="auto" w:sz="4" w:space="0"/>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责令改正。</w:t>
            </w:r>
          </w:p>
        </w:tc>
        <w:tc>
          <w:tcPr>
            <w:tcW w:w="1809"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1134"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327"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276"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317"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6431" w:type="dxa"/>
            <w:gridSpan w:val="2"/>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240" w:lineRule="auto"/>
              <w:ind w:left="0" w:leftChars="0" w:firstLine="0" w:firstLineChars="0"/>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bidi="ar-SA"/>
              </w:rPr>
              <w:t>施工图设计文件未以批准的初步设计文件以及设计变更文件为依据。</w:t>
            </w:r>
          </w:p>
        </w:tc>
        <w:tc>
          <w:tcPr>
            <w:tcW w:w="2749" w:type="dxa"/>
            <w:vMerge w:val="continue"/>
            <w:tcBorders>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103" w:type="dxa"/>
            <w:vMerge w:val="continue"/>
            <w:tcBorders>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rPr>
            </w:pPr>
          </w:p>
        </w:tc>
        <w:tc>
          <w:tcPr>
            <w:tcW w:w="1809"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327"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276"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670"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25</w:t>
            </w:r>
          </w:p>
        </w:tc>
        <w:tc>
          <w:tcPr>
            <w:tcW w:w="6431" w:type="dxa"/>
            <w:gridSpan w:val="2"/>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240" w:lineRule="auto"/>
              <w:ind w:left="0" w:leftChars="0" w:firstLine="0" w:firstLineChars="0"/>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bidi="ar-SA"/>
              </w:rPr>
              <w:t>在设计文件中选用的原材料、中间产品和设备，未注明规格、型号、性能等技术指标，或者质量要求不符合国家规定的标准。　　</w:t>
            </w:r>
          </w:p>
        </w:tc>
        <w:tc>
          <w:tcPr>
            <w:tcW w:w="274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二十六</w:t>
            </w:r>
            <w:r>
              <w:rPr>
                <w:rFonts w:hint="eastAsia" w:ascii="仿宋_GB2312" w:hAnsi="仿宋_GB2312" w:eastAsia="仿宋_GB2312" w:cs="仿宋_GB2312"/>
                <w:kern w:val="0"/>
                <w:sz w:val="21"/>
                <w:szCs w:val="21"/>
                <w:highlight w:val="none"/>
              </w:rPr>
              <w:t>条</w:t>
            </w:r>
          </w:p>
        </w:tc>
        <w:tc>
          <w:tcPr>
            <w:tcW w:w="510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670"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26</w:t>
            </w:r>
          </w:p>
        </w:tc>
        <w:tc>
          <w:tcPr>
            <w:tcW w:w="643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bidi="ar-SA"/>
              </w:rPr>
              <w:t>在工程施工前，未向施工、监理等有关参建单位进行交底，或者未对施工图设计文件作出详细说明，或者未对涉及工程结构安全的关键部位进行明确。</w:t>
            </w:r>
          </w:p>
        </w:tc>
        <w:tc>
          <w:tcPr>
            <w:tcW w:w="274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二十七</w:t>
            </w:r>
            <w:r>
              <w:rPr>
                <w:rFonts w:hint="eastAsia" w:ascii="仿宋_GB2312" w:hAnsi="仿宋_GB2312" w:eastAsia="仿宋_GB2312" w:cs="仿宋_GB2312"/>
                <w:kern w:val="0"/>
                <w:sz w:val="21"/>
                <w:szCs w:val="21"/>
                <w:highlight w:val="none"/>
              </w:rPr>
              <w:t>条</w:t>
            </w:r>
          </w:p>
        </w:tc>
        <w:tc>
          <w:tcPr>
            <w:tcW w:w="510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670"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27</w:t>
            </w:r>
          </w:p>
        </w:tc>
        <w:tc>
          <w:tcPr>
            <w:tcW w:w="6431" w:type="dxa"/>
            <w:gridSpan w:val="2"/>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widowControl/>
              <w:suppressLineNumbers w:val="0"/>
              <w:shd w:val="clear" w:color="auto" w:fill="FFFFFF"/>
              <w:kinsoku/>
              <w:wordWrap/>
              <w:overflowPunct/>
              <w:topLinePunct w:val="0"/>
              <w:autoSpaceDE/>
              <w:autoSpaceDN/>
              <w:bidi w:val="0"/>
              <w:adjustRightInd/>
              <w:snapToGrid w:val="0"/>
              <w:spacing w:beforeAutospacing="0" w:afterAutospacing="0" w:line="240" w:lineRule="auto"/>
              <w:ind w:left="0" w:leftChars="0" w:firstLine="0" w:firstLineChars="0"/>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bidi="ar-SA"/>
              </w:rPr>
              <w:t>未及时解决施工中出现的设计问题。</w:t>
            </w:r>
          </w:p>
        </w:tc>
        <w:tc>
          <w:tcPr>
            <w:tcW w:w="274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二十八</w:t>
            </w:r>
            <w:r>
              <w:rPr>
                <w:rFonts w:hint="eastAsia" w:ascii="仿宋_GB2312" w:hAnsi="仿宋_GB2312" w:eastAsia="仿宋_GB2312" w:cs="仿宋_GB2312"/>
                <w:kern w:val="0"/>
                <w:sz w:val="21"/>
                <w:szCs w:val="21"/>
                <w:highlight w:val="none"/>
              </w:rPr>
              <w:t>条</w:t>
            </w:r>
          </w:p>
        </w:tc>
        <w:tc>
          <w:tcPr>
            <w:tcW w:w="510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责令改正。</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轻微；一般；严重；特别严重</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670"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28</w:t>
            </w:r>
          </w:p>
        </w:tc>
        <w:tc>
          <w:tcPr>
            <w:tcW w:w="643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bidi="ar-SA"/>
              </w:rPr>
              <w:t>在验收中，未对施工质量是否满足设计要求提出明确的评价意见。</w:t>
            </w:r>
          </w:p>
        </w:tc>
        <w:tc>
          <w:tcPr>
            <w:tcW w:w="274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二十九</w:t>
            </w:r>
            <w:r>
              <w:rPr>
                <w:rFonts w:hint="eastAsia" w:ascii="仿宋_GB2312" w:hAnsi="仿宋_GB2312" w:eastAsia="仿宋_GB2312" w:cs="仿宋_GB2312"/>
                <w:kern w:val="0"/>
                <w:sz w:val="21"/>
                <w:szCs w:val="21"/>
                <w:highlight w:val="none"/>
              </w:rPr>
              <w:t>条</w:t>
            </w:r>
          </w:p>
        </w:tc>
        <w:tc>
          <w:tcPr>
            <w:tcW w:w="510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责令改正。</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轻微；一般；严重；特别严重</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670"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29</w:t>
            </w:r>
          </w:p>
        </w:tc>
        <w:tc>
          <w:tcPr>
            <w:tcW w:w="643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bidi="ar-SA"/>
              </w:rPr>
              <w:t>未参与水利工程质量事故分析，或者未提出相应的技术处理方案。</w:t>
            </w:r>
          </w:p>
        </w:tc>
        <w:tc>
          <w:tcPr>
            <w:tcW w:w="274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三十</w:t>
            </w:r>
            <w:r>
              <w:rPr>
                <w:rFonts w:hint="eastAsia" w:ascii="仿宋_GB2312" w:hAnsi="仿宋_GB2312" w:eastAsia="仿宋_GB2312" w:cs="仿宋_GB2312"/>
                <w:kern w:val="0"/>
                <w:sz w:val="21"/>
                <w:szCs w:val="21"/>
                <w:highlight w:val="none"/>
              </w:rPr>
              <w:t>条</w:t>
            </w:r>
          </w:p>
        </w:tc>
        <w:tc>
          <w:tcPr>
            <w:tcW w:w="510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责令改正。</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轻微；一般；严重；特别严重</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670"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30</w:t>
            </w:r>
          </w:p>
        </w:tc>
        <w:tc>
          <w:tcPr>
            <w:tcW w:w="6431" w:type="dxa"/>
            <w:gridSpan w:val="2"/>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不接受水利工程质量监督机构监督</w:t>
            </w:r>
            <w:r>
              <w:rPr>
                <w:rFonts w:hint="eastAsia" w:ascii="仿宋_GB2312" w:hAnsi="仿宋_GB2312" w:eastAsia="仿宋_GB2312" w:cs="仿宋_GB2312"/>
                <w:kern w:val="0"/>
                <w:sz w:val="21"/>
                <w:szCs w:val="21"/>
                <w:highlight w:val="none"/>
                <w:lang w:eastAsia="zh-CN"/>
              </w:rPr>
              <w:t>。</w:t>
            </w:r>
          </w:p>
        </w:tc>
        <w:tc>
          <w:tcPr>
            <w:tcW w:w="2749" w:type="dxa"/>
            <w:tcBorders>
              <w:top w:val="single" w:color="auto" w:sz="4" w:space="0"/>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五十四</w:t>
            </w:r>
            <w:r>
              <w:rPr>
                <w:rFonts w:hint="eastAsia" w:ascii="仿宋_GB2312" w:hAnsi="仿宋_GB2312" w:eastAsia="仿宋_GB2312" w:cs="仿宋_GB2312"/>
                <w:kern w:val="0"/>
                <w:sz w:val="21"/>
                <w:szCs w:val="21"/>
                <w:highlight w:val="none"/>
              </w:rPr>
              <w:t>条</w:t>
            </w:r>
          </w:p>
        </w:tc>
        <w:tc>
          <w:tcPr>
            <w:tcW w:w="5103" w:type="dxa"/>
            <w:tcBorders>
              <w:top w:val="single" w:color="auto" w:sz="4" w:space="0"/>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根据情节轻重，予以通报批评、降低资质等级直至收缴资质证书，经济处理按合同约定办理，触犯法律的，按国家有关法律处理。</w:t>
            </w:r>
          </w:p>
        </w:tc>
        <w:tc>
          <w:tcPr>
            <w:tcW w:w="1809" w:type="dxa"/>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90" w:hRule="atLeast"/>
          <w:jc w:val="center"/>
        </w:trPr>
        <w:tc>
          <w:tcPr>
            <w:tcW w:w="7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59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31</w:t>
            </w:r>
          </w:p>
        </w:tc>
        <w:tc>
          <w:tcPr>
            <w:tcW w:w="643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采用新结构、新材料、新工艺的建设工程和特殊结构的建设工程，设计单位未在设计中提出保障施工作业人员安全和预防生产安全事故的措施建议</w:t>
            </w:r>
            <w:r>
              <w:rPr>
                <w:rFonts w:hint="eastAsia" w:ascii="仿宋_GB2312" w:hAnsi="仿宋_GB2312" w:eastAsia="仿宋_GB2312" w:cs="仿宋_GB2312"/>
                <w:kern w:val="0"/>
                <w:sz w:val="21"/>
                <w:szCs w:val="21"/>
                <w:highlight w:val="none"/>
                <w:lang w:eastAsia="zh-CN"/>
              </w:rPr>
              <w:t>。</w:t>
            </w:r>
          </w:p>
        </w:tc>
        <w:tc>
          <w:tcPr>
            <w:tcW w:w="274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《建设工程安全生产管理条例》第五十六条</w:t>
            </w:r>
          </w:p>
        </w:tc>
        <w:tc>
          <w:tcPr>
            <w:tcW w:w="510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一般；严重；特别严重；严重失信（符合规定的，列入严重失信主体名单处理）</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r>
      <w:tr>
        <w:tblPrEx>
          <w:tblLayout w:type="fixed"/>
          <w:tblCellMar>
            <w:top w:w="0" w:type="dxa"/>
            <w:left w:w="108" w:type="dxa"/>
            <w:bottom w:w="0" w:type="dxa"/>
            <w:right w:w="108" w:type="dxa"/>
          </w:tblCellMar>
        </w:tblPrEx>
        <w:trPr>
          <w:trHeight w:val="90" w:hRule="atLeast"/>
          <w:jc w:val="center"/>
        </w:trPr>
        <w:tc>
          <w:tcPr>
            <w:tcW w:w="777" w:type="dxa"/>
            <w:vMerge w:val="continue"/>
            <w:tcBorders>
              <w:left w:val="single" w:color="auto" w:sz="4" w:space="0"/>
              <w:bottom w:val="single" w:color="000000"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59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32</w:t>
            </w:r>
          </w:p>
        </w:tc>
        <w:tc>
          <w:tcPr>
            <w:tcW w:w="643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由于设计单位责任造成质量事故</w:t>
            </w:r>
            <w:r>
              <w:rPr>
                <w:rFonts w:hint="eastAsia" w:ascii="仿宋_GB2312" w:hAnsi="仿宋_GB2312" w:eastAsia="仿宋_GB2312" w:cs="仿宋_GB2312"/>
                <w:kern w:val="0"/>
                <w:sz w:val="21"/>
                <w:szCs w:val="21"/>
                <w:highlight w:val="none"/>
                <w:lang w:eastAsia="zh-CN"/>
              </w:rPr>
              <w:t>。</w:t>
            </w:r>
          </w:p>
        </w:tc>
        <w:tc>
          <w:tcPr>
            <w:tcW w:w="274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《水利工程质量事故处理暂行规定》第三十三条</w:t>
            </w:r>
          </w:p>
        </w:tc>
        <w:tc>
          <w:tcPr>
            <w:tcW w:w="510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令其立即整改并可处以罚款；造成较大以上质量事故的，处以通报批评、停业整顿、降低资质等级、吊销水利工程勘测、设计资格；对主要责任人处以行政处分、取消水利工程勘测、设计执业资格；构成犯罪的，移送司法机关依法处理。</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轻微；一般；严重；特别严重；严重失信（符合规定的，列入严重失信主体名单处理）</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2061" w:hRule="atLeast"/>
          <w:jc w:val="center"/>
        </w:trPr>
        <w:tc>
          <w:tcPr>
            <w:tcW w:w="777" w:type="dxa"/>
            <w:vMerge w:val="restart"/>
            <w:tcBorders>
              <w:top w:val="nil"/>
              <w:left w:val="single" w:color="auto" w:sz="4" w:space="0"/>
              <w:bottom w:val="single" w:color="000000"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其他</w:t>
            </w:r>
          </w:p>
        </w:tc>
        <w:tc>
          <w:tcPr>
            <w:tcW w:w="59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33</w:t>
            </w:r>
          </w:p>
        </w:tc>
        <w:tc>
          <w:tcPr>
            <w:tcW w:w="643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执行行政主管部门的审查审批文件不到位</w:t>
            </w:r>
            <w:r>
              <w:rPr>
                <w:rFonts w:hint="eastAsia" w:ascii="仿宋_GB2312" w:hAnsi="仿宋_GB2312" w:eastAsia="仿宋_GB2312" w:cs="仿宋_GB2312"/>
                <w:kern w:val="0"/>
                <w:sz w:val="21"/>
                <w:szCs w:val="21"/>
                <w:highlight w:val="none"/>
                <w:lang w:eastAsia="zh-CN"/>
              </w:rPr>
              <w:t>。</w:t>
            </w:r>
          </w:p>
        </w:tc>
        <w:tc>
          <w:tcPr>
            <w:tcW w:w="274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《建设工程勘察设计管理条例》第二十八条、第四十条</w:t>
            </w:r>
          </w:p>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《水利工程建设程序管理暂行规定》第六条</w:t>
            </w:r>
          </w:p>
        </w:tc>
        <w:tc>
          <w:tcPr>
            <w:tcW w:w="510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轻微（不予行政处理的不予公告）；一般；严重；特别严重</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0～18</w:t>
            </w:r>
          </w:p>
        </w:tc>
      </w:tr>
      <w:tr>
        <w:tblPrEx>
          <w:tblLayout w:type="fixed"/>
          <w:tblCellMar>
            <w:top w:w="0" w:type="dxa"/>
            <w:left w:w="108" w:type="dxa"/>
            <w:bottom w:w="0" w:type="dxa"/>
            <w:right w:w="108" w:type="dxa"/>
          </w:tblCellMar>
        </w:tblPrEx>
        <w:trPr>
          <w:trHeight w:val="1229" w:hRule="atLeast"/>
          <w:jc w:val="center"/>
        </w:trPr>
        <w:tc>
          <w:tcPr>
            <w:tcW w:w="777"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34</w:t>
            </w:r>
          </w:p>
        </w:tc>
        <w:tc>
          <w:tcPr>
            <w:tcW w:w="6431" w:type="dxa"/>
            <w:gridSpan w:val="2"/>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在相关信用信息平台中录入的信息或向有关行政部门、专业部门提供的信息存在故意隐瞒真实情况、弄虚作假情况</w:t>
            </w:r>
            <w:r>
              <w:rPr>
                <w:rFonts w:hint="eastAsia" w:ascii="仿宋_GB2312" w:hAnsi="仿宋_GB2312" w:eastAsia="仿宋_GB2312" w:cs="仿宋_GB2312"/>
                <w:kern w:val="0"/>
                <w:sz w:val="21"/>
                <w:szCs w:val="21"/>
                <w:highlight w:val="none"/>
                <w:lang w:eastAsia="zh-CN"/>
              </w:rPr>
              <w:t>。</w:t>
            </w:r>
          </w:p>
        </w:tc>
        <w:tc>
          <w:tcPr>
            <w:tcW w:w="2749" w:type="dxa"/>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xml:space="preserve">《水利部关于促进市场公平竞争维护水利建设市场正常秩序的实施意见》第（十三）条 </w:t>
            </w:r>
          </w:p>
        </w:tc>
        <w:tc>
          <w:tcPr>
            <w:tcW w:w="5103" w:type="dxa"/>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对在公告信息中隐瞒真实情况、弄虚作假的，作为严重失信行为列入黑名单。对未建立信用档案的市场主体，各级水行政主管部门可依据有关规定采取相应处理措施。</w:t>
            </w:r>
          </w:p>
        </w:tc>
        <w:tc>
          <w:tcPr>
            <w:tcW w:w="1809"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w:t>
            </w:r>
          </w:p>
        </w:tc>
        <w:tc>
          <w:tcPr>
            <w:tcW w:w="1134"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32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bl>
    <w:p>
      <w:pPr>
        <w:rPr>
          <w:rFonts w:hint="eastAsia" w:ascii="仿宋_GB2312" w:hAnsi="仿宋_GB2312" w:eastAsia="仿宋_GB2312" w:cs="仿宋_GB2312"/>
          <w:sz w:val="32"/>
          <w:szCs w:val="32"/>
          <w:highlight w:val="none"/>
        </w:rPr>
      </w:pPr>
    </w:p>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附表3-4  </w:t>
      </w:r>
      <w:r>
        <w:rPr>
          <w:rFonts w:hint="eastAsia" w:ascii="仿宋_GB2312" w:hAnsi="仿宋_GB2312" w:eastAsia="仿宋_GB2312" w:cs="仿宋_GB2312"/>
          <w:kern w:val="0"/>
          <w:sz w:val="32"/>
          <w:szCs w:val="32"/>
          <w:highlight w:val="none"/>
        </w:rPr>
        <w:t>监理单位不良行为认定标准</w:t>
      </w:r>
    </w:p>
    <w:tbl>
      <w:tblPr>
        <w:tblStyle w:val="6"/>
        <w:tblW w:w="21520" w:type="dxa"/>
        <w:jc w:val="center"/>
        <w:tblInd w:w="0" w:type="dxa"/>
        <w:tblLayout w:type="fixed"/>
        <w:tblCellMar>
          <w:top w:w="0" w:type="dxa"/>
          <w:left w:w="108" w:type="dxa"/>
          <w:bottom w:w="0" w:type="dxa"/>
          <w:right w:w="108" w:type="dxa"/>
        </w:tblCellMar>
      </w:tblPr>
      <w:tblGrid>
        <w:gridCol w:w="656"/>
        <w:gridCol w:w="656"/>
        <w:gridCol w:w="1295"/>
        <w:gridCol w:w="6191"/>
        <w:gridCol w:w="3686"/>
        <w:gridCol w:w="4146"/>
        <w:gridCol w:w="1701"/>
        <w:gridCol w:w="992"/>
        <w:gridCol w:w="1134"/>
        <w:gridCol w:w="1063"/>
      </w:tblGrid>
      <w:tr>
        <w:tblPrEx>
          <w:tblLayout w:type="fixed"/>
          <w:tblCellMar>
            <w:top w:w="0" w:type="dxa"/>
            <w:left w:w="108" w:type="dxa"/>
            <w:bottom w:w="0" w:type="dxa"/>
            <w:right w:w="108" w:type="dxa"/>
          </w:tblCellMar>
        </w:tblPrEx>
        <w:trPr>
          <w:trHeight w:val="913" w:hRule="atLeast"/>
          <w:tblHeader/>
          <w:jc w:val="center"/>
        </w:trPr>
        <w:tc>
          <w:tcPr>
            <w:tcW w:w="65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行为类别</w:t>
            </w:r>
          </w:p>
        </w:tc>
        <w:tc>
          <w:tcPr>
            <w:tcW w:w="65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序号</w:t>
            </w:r>
          </w:p>
        </w:tc>
        <w:tc>
          <w:tcPr>
            <w:tcW w:w="7486" w:type="dxa"/>
            <w:gridSpan w:val="2"/>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不良信用行为</w:t>
            </w:r>
          </w:p>
        </w:tc>
        <w:tc>
          <w:tcPr>
            <w:tcW w:w="368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法律法规和规章依据</w:t>
            </w:r>
          </w:p>
        </w:tc>
        <w:tc>
          <w:tcPr>
            <w:tcW w:w="414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行政处理</w:t>
            </w:r>
          </w:p>
        </w:tc>
        <w:tc>
          <w:tcPr>
            <w:tcW w:w="170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不良行为等级</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信用</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扣分值</w:t>
            </w:r>
            <w:r>
              <w:rPr>
                <w:rFonts w:hint="eastAsia" w:ascii="仿宋_GB2312" w:hAnsi="仿宋_GB2312" w:eastAsia="仿宋_GB2312" w:cs="仿宋_GB2312"/>
                <w:b/>
                <w:bCs/>
                <w:kern w:val="0"/>
                <w:sz w:val="21"/>
                <w:szCs w:val="21"/>
                <w:highlight w:val="none"/>
              </w:rPr>
              <w:br w:type="textWrapping"/>
            </w:r>
            <w:r>
              <w:rPr>
                <w:rFonts w:hint="eastAsia" w:ascii="仿宋_GB2312" w:hAnsi="仿宋_GB2312" w:eastAsia="仿宋_GB2312" w:cs="仿宋_GB2312"/>
                <w:b/>
                <w:bCs/>
                <w:kern w:val="0"/>
                <w:sz w:val="21"/>
                <w:szCs w:val="21"/>
                <w:highlight w:val="none"/>
              </w:rPr>
              <w:t>（分）</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信用扣分</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有效期</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（月）</w:t>
            </w:r>
          </w:p>
        </w:tc>
        <w:tc>
          <w:tcPr>
            <w:tcW w:w="1063"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信用信息</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公告期</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（月）</w:t>
            </w:r>
          </w:p>
        </w:tc>
      </w:tr>
      <w:tr>
        <w:tblPrEx>
          <w:tblLayout w:type="fixed"/>
          <w:tblCellMar>
            <w:top w:w="0" w:type="dxa"/>
            <w:left w:w="108" w:type="dxa"/>
            <w:bottom w:w="0" w:type="dxa"/>
            <w:right w:w="108" w:type="dxa"/>
          </w:tblCellMar>
        </w:tblPrEx>
        <w:trPr>
          <w:trHeight w:val="990" w:hRule="atLeast"/>
          <w:jc w:val="center"/>
        </w:trPr>
        <w:tc>
          <w:tcPr>
            <w:tcW w:w="656" w:type="dxa"/>
            <w:vMerge w:val="restart"/>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资质管理</w:t>
            </w: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超越本单位资质等级承揽工程</w:t>
            </w:r>
            <w:r>
              <w:rPr>
                <w:rFonts w:hint="eastAsia" w:ascii="仿宋_GB2312" w:hAnsi="仿宋_GB2312" w:eastAsia="仿宋_GB2312" w:cs="仿宋_GB2312"/>
                <w:kern w:val="0"/>
                <w:sz w:val="21"/>
                <w:szCs w:val="21"/>
                <w:highlight w:val="none"/>
                <w:lang w:eastAsia="zh-CN"/>
              </w:rPr>
              <w:t>。</w:t>
            </w:r>
          </w:p>
        </w:tc>
        <w:tc>
          <w:tcPr>
            <w:tcW w:w="36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《水利工程质量管理规定》第四十三条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《水利工程建设监理规定》第二十七条</w:t>
            </w:r>
          </w:p>
        </w:tc>
        <w:tc>
          <w:tcPr>
            <w:tcW w:w="414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责令停止违法行为，处合同约定的监理酬金1倍以上2倍以下的罚款；可以责令停业整顿，降低资质等级；情节严重的，吊销资质证书；有违法所得的，予以没收。</w:t>
            </w:r>
          </w:p>
        </w:tc>
        <w:tc>
          <w:tcPr>
            <w:tcW w:w="1701"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720"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未取得资质证书承揽工程</w:t>
            </w:r>
            <w:r>
              <w:rPr>
                <w:rFonts w:hint="eastAsia" w:ascii="仿宋_GB2312" w:hAnsi="仿宋_GB2312" w:eastAsia="仿宋_GB2312" w:cs="仿宋_GB2312"/>
                <w:kern w:val="0"/>
                <w:sz w:val="21"/>
                <w:szCs w:val="21"/>
                <w:highlight w:val="none"/>
                <w:lang w:eastAsia="zh-CN"/>
              </w:rPr>
              <w:t>。</w:t>
            </w:r>
          </w:p>
        </w:tc>
        <w:tc>
          <w:tcPr>
            <w:tcW w:w="36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《水利工程质量管理规定》第四十三条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《水利工程建设监理规定》第二十七条</w:t>
            </w:r>
          </w:p>
        </w:tc>
        <w:tc>
          <w:tcPr>
            <w:tcW w:w="414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予以取缔，处合同约定的监理酬金1倍以上2倍以下的罚款；有违法所得的，予以没收。</w:t>
            </w:r>
          </w:p>
        </w:tc>
        <w:tc>
          <w:tcPr>
            <w:tcW w:w="1701"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1220"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允许其他单位或者个人以本单位名义承揽工程</w:t>
            </w:r>
            <w:r>
              <w:rPr>
                <w:rFonts w:hint="eastAsia" w:ascii="仿宋_GB2312" w:hAnsi="仿宋_GB2312" w:eastAsia="仿宋_GB2312" w:cs="仿宋_GB2312"/>
                <w:kern w:val="0"/>
                <w:sz w:val="21"/>
                <w:szCs w:val="21"/>
                <w:highlight w:val="none"/>
                <w:lang w:eastAsia="zh-CN"/>
              </w:rPr>
              <w:t>。</w:t>
            </w:r>
          </w:p>
        </w:tc>
        <w:tc>
          <w:tcPr>
            <w:tcW w:w="36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《建设工程质量管理条例》第六十一条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《水利工程建设监理规定》第二十七条</w:t>
            </w:r>
          </w:p>
        </w:tc>
        <w:tc>
          <w:tcPr>
            <w:tcW w:w="414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责令改正，没收违法所得，处合同约定的监理酬金1倍以上2倍以下的罚款；可以责令停业整顿，降低资质等级；情节严重的，吊销资质证书。</w:t>
            </w:r>
          </w:p>
        </w:tc>
        <w:tc>
          <w:tcPr>
            <w:tcW w:w="1701"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735"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聘用无相应监理人员资格的人员从事监理业务</w:t>
            </w:r>
            <w:r>
              <w:rPr>
                <w:rFonts w:hint="eastAsia" w:ascii="仿宋_GB2312" w:hAnsi="仿宋_GB2312" w:eastAsia="仿宋_GB2312" w:cs="仿宋_GB2312"/>
                <w:kern w:val="0"/>
                <w:sz w:val="21"/>
                <w:szCs w:val="21"/>
                <w:highlight w:val="none"/>
                <w:lang w:eastAsia="zh-CN"/>
              </w:rPr>
              <w:t>。</w:t>
            </w:r>
          </w:p>
        </w:tc>
        <w:tc>
          <w:tcPr>
            <w:tcW w:w="36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《水利工程建设监理规定》第三十条</w:t>
            </w:r>
          </w:p>
        </w:tc>
        <w:tc>
          <w:tcPr>
            <w:tcW w:w="414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责令改正，给予警告；情节严重的，降低资质等级。</w:t>
            </w:r>
          </w:p>
        </w:tc>
        <w:tc>
          <w:tcPr>
            <w:tcW w:w="1701"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2～6</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6～12</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6～12</w:t>
            </w:r>
          </w:p>
        </w:tc>
      </w:tr>
      <w:tr>
        <w:tblPrEx>
          <w:tblLayout w:type="fixed"/>
          <w:tblCellMar>
            <w:top w:w="0" w:type="dxa"/>
            <w:left w:w="108" w:type="dxa"/>
            <w:bottom w:w="0" w:type="dxa"/>
            <w:right w:w="108" w:type="dxa"/>
          </w:tblCellMar>
        </w:tblPrEx>
        <w:trPr>
          <w:trHeight w:val="4241" w:hRule="atLeast"/>
          <w:jc w:val="center"/>
        </w:trPr>
        <w:tc>
          <w:tcPr>
            <w:tcW w:w="656" w:type="dxa"/>
            <w:vMerge w:val="restart"/>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w:t>
            </w: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相互串通投标（包括但不限于：1.投标人之间协商投标报价等投标文件的实质性内容；2.投标人之间约定中标人；3.投标人之间约定部分投标人放弃投标或者中标；4.属于同一集团、协会、商会等组织成员的投标人按照该组织要求协同投标；5.投标人之间为谋取中标或者排斥特定投标人而采取的其他联合行动；6.不同投标人的投标文件由同一单位或者个人编制；7.不同投标人委托同一单位或者个人办理投标事宜；8.不同投标人的投标文件载明的项目管理成员为同一人；9.不同投标人的投标文件异常一致或者投标报价呈规律性差异；10.不同投标人的投标文件相互混装；11.不同投标人的投标保证金从同一单位或者个人的账户转出；不同投标人编制的投标文件的实质性内容存在两处以上细节错误一致；12.不同投标人的投标文件由同一电子设备编制、打包加密或者上传，不同投标人的投标文件由同一投标人的电子设备打印、复印；13.不同投标人的投标文件由同一投标人送达或者分发；14.参加投标活动的人员为同一标段其他投标人的在职人员；15.不同投标人的投标保证金从投标人各自的基本账户转出，但是，所需资金来自同一单位或者个人账户。）</w:t>
            </w:r>
          </w:p>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以向招标人或者评标委员会成员行贿等不正当手段谋取中标</w:t>
            </w:r>
            <w:r>
              <w:rPr>
                <w:rFonts w:hint="eastAsia" w:ascii="仿宋_GB2312" w:hAnsi="仿宋_GB2312" w:eastAsia="仿宋_GB2312" w:cs="仿宋_GB2312"/>
                <w:kern w:val="0"/>
                <w:sz w:val="21"/>
                <w:szCs w:val="21"/>
                <w:highlight w:val="none"/>
                <w:lang w:eastAsia="zh-CN"/>
              </w:rPr>
              <w:t>。</w:t>
            </w:r>
          </w:p>
        </w:tc>
        <w:tc>
          <w:tcPr>
            <w:tcW w:w="36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《招标投标法》第五十三条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《招标投标法实施条例》第三十九条、第四十条、第六十七条</w:t>
            </w:r>
          </w:p>
        </w:tc>
        <w:tc>
          <w:tcPr>
            <w:tcW w:w="414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xml:space="preserve">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 </w:t>
            </w:r>
          </w:p>
        </w:tc>
        <w:tc>
          <w:tcPr>
            <w:tcW w:w="1701"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1132"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val="en-US" w:eastAsia="zh-CN"/>
              </w:rPr>
              <w:t>6</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投标人以他人名义投标或者以其他方式弄虚作假，骗取中标（包括但不限于：1.使用伪造、变造的许可证件；2.提供虚假的财务状况或者业绩；3.提供虚假的项目负责人或者主要技术人员简历、劳动关系证明；4.提供虚假的信用状况；5.使用通过受让或者租借等方式获取的资格、资质证书投标；6.其他弄虚作假的行为）</w:t>
            </w:r>
            <w:r>
              <w:rPr>
                <w:rFonts w:hint="eastAsia" w:ascii="仿宋_GB2312" w:hAnsi="仿宋_GB2312" w:eastAsia="仿宋_GB2312" w:cs="仿宋_GB2312"/>
                <w:kern w:val="0"/>
                <w:sz w:val="21"/>
                <w:szCs w:val="21"/>
                <w:highlight w:val="none"/>
                <w:lang w:eastAsia="zh-CN"/>
              </w:rPr>
              <w:t>。</w:t>
            </w:r>
          </w:p>
        </w:tc>
        <w:tc>
          <w:tcPr>
            <w:tcW w:w="36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《招标投标法》第五十四条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《招标投标法实施条例》第四十二条</w:t>
            </w:r>
          </w:p>
        </w:tc>
        <w:tc>
          <w:tcPr>
            <w:tcW w:w="414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xml:space="preserve">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 </w:t>
            </w:r>
          </w:p>
        </w:tc>
        <w:tc>
          <w:tcPr>
            <w:tcW w:w="1701"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1132"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lang w:val="en-US" w:eastAsia="zh-CN"/>
              </w:rPr>
              <w:t>7</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将中标项目转让给他人；将中标项目肢解后分别转让给他人；违反本法规定将中标项目的部分主体、关键性工作分包给他人；分包人再次分包</w:t>
            </w:r>
            <w:r>
              <w:rPr>
                <w:rFonts w:hint="eastAsia" w:ascii="仿宋_GB2312" w:hAnsi="仿宋_GB2312" w:eastAsia="仿宋_GB2312" w:cs="仿宋_GB2312"/>
                <w:kern w:val="0"/>
                <w:sz w:val="21"/>
                <w:szCs w:val="21"/>
                <w:highlight w:val="none"/>
                <w:lang w:eastAsia="zh-CN"/>
              </w:rPr>
              <w:t>。</w:t>
            </w:r>
          </w:p>
        </w:tc>
        <w:tc>
          <w:tcPr>
            <w:tcW w:w="36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《招标投标法》第五十八条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《建设工程质量管理条例》第六十二条</w:t>
            </w:r>
          </w:p>
        </w:tc>
        <w:tc>
          <w:tcPr>
            <w:tcW w:w="414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转让、分包无效，责令改正，没收违法所得，处合同约定的监理酬金25％以上50％以下的罚款；可以责令停业整顿，降低资质等级；情节严重的，吊销资质证书。</w:t>
            </w:r>
          </w:p>
        </w:tc>
        <w:tc>
          <w:tcPr>
            <w:tcW w:w="1701"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8</w:t>
            </w:r>
          </w:p>
        </w:tc>
        <w:tc>
          <w:tcPr>
            <w:tcW w:w="1295" w:type="dxa"/>
            <w:vMerge w:val="restart"/>
            <w:tcBorders>
              <w:top w:val="nil"/>
              <w:left w:val="nil"/>
              <w:right w:val="single" w:color="auto" w:sz="4" w:space="0"/>
            </w:tcBorders>
            <w:vAlign w:val="center"/>
          </w:tcPr>
          <w:p>
            <w:pPr>
              <w:keepNext w:val="0"/>
              <w:keepLines w:val="0"/>
              <w:pageBreakBefore w:val="0"/>
              <w:widowControl w:val="0"/>
              <w:kinsoku/>
              <w:wordWrap/>
              <w:overflowPunct/>
              <w:topLinePunct w:val="0"/>
              <w:autoSpaceDE/>
              <w:autoSpaceDN/>
              <w:bidi/>
              <w:adjustRightInd/>
              <w:snapToGrid w:val="0"/>
              <w:spacing w:line="240" w:lineRule="auto"/>
              <w:jc w:val="both"/>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非因不可抗力和招标人原因，不按照与招标人订立的合同履行义务（包括但不限于）</w:t>
            </w:r>
          </w:p>
        </w:tc>
        <w:tc>
          <w:tcPr>
            <w:tcW w:w="6191"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项目总监的任命（含变更）不符合合同约定及其他有关规定；或者项目总监未按规定到岗履职（含参加或者组织工程验收）；或者安排任职项目数量超过规定限额</w:t>
            </w:r>
            <w:r>
              <w:rPr>
                <w:rFonts w:hint="eastAsia" w:ascii="仿宋_GB2312" w:hAnsi="仿宋_GB2312" w:eastAsia="仿宋_GB2312" w:cs="仿宋_GB2312"/>
                <w:kern w:val="0"/>
                <w:sz w:val="21"/>
                <w:szCs w:val="21"/>
                <w:highlight w:val="none"/>
                <w:lang w:eastAsia="zh-CN"/>
              </w:rPr>
              <w:t>。</w:t>
            </w:r>
          </w:p>
        </w:tc>
        <w:tc>
          <w:tcPr>
            <w:tcW w:w="3686"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《招标投标法》第六十条</w:t>
            </w:r>
          </w:p>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《水利工程质量管理规定》第四十三条</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lang w:val="en-US" w:eastAsia="zh-CN"/>
              </w:rPr>
              <w:t>第四十四条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监理单位与项目法人签订的监理委托合同</w:t>
            </w:r>
          </w:p>
        </w:tc>
        <w:tc>
          <w:tcPr>
            <w:tcW w:w="4146"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情节严重的，取消其二年至五年内参加依法必须进行招标的项目的投标资格并予以公告，直至由工商行政管理机关吊销营业执照。</w:t>
            </w:r>
          </w:p>
        </w:tc>
        <w:tc>
          <w:tcPr>
            <w:tcW w:w="1701" w:type="dxa"/>
            <w:vMerge w:val="restart"/>
            <w:tcBorders>
              <w:top w:val="nil"/>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轻微（不予行政处理的不予公告）；一般；严重；特别严重（符合规定的，列入严重失信主体名单处理）</w:t>
            </w:r>
          </w:p>
        </w:tc>
        <w:tc>
          <w:tcPr>
            <w:tcW w:w="992"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134"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063"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0～18</w:t>
            </w:r>
          </w:p>
        </w:tc>
      </w:tr>
      <w:tr>
        <w:tblPrEx>
          <w:tblLayout w:type="fixed"/>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9</w:t>
            </w:r>
          </w:p>
        </w:tc>
        <w:tc>
          <w:tcPr>
            <w:tcW w:w="1295"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191"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未按照合同约定派出满足工程建设需要的监理人员或合同约定的监理人员未到岗履职且未经批准擅自更换</w:t>
            </w:r>
            <w:r>
              <w:rPr>
                <w:rFonts w:hint="eastAsia" w:ascii="仿宋_GB2312" w:hAnsi="仿宋_GB2312" w:eastAsia="仿宋_GB2312" w:cs="仿宋_GB2312"/>
                <w:kern w:val="0"/>
                <w:sz w:val="21"/>
                <w:szCs w:val="21"/>
                <w:highlight w:val="none"/>
                <w:lang w:eastAsia="zh-CN"/>
              </w:rPr>
              <w:t>。</w:t>
            </w:r>
          </w:p>
        </w:tc>
        <w:tc>
          <w:tcPr>
            <w:tcW w:w="36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414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01"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63"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10</w:t>
            </w:r>
          </w:p>
        </w:tc>
        <w:tc>
          <w:tcPr>
            <w:tcW w:w="1295"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191"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投标承诺投入的设施设备（包括但不限于：交通工具、主要试验检测仪器设备）未到位，影响工程实施</w:t>
            </w:r>
            <w:r>
              <w:rPr>
                <w:rFonts w:hint="eastAsia" w:ascii="仿宋_GB2312" w:hAnsi="仿宋_GB2312" w:eastAsia="仿宋_GB2312" w:cs="仿宋_GB2312"/>
                <w:kern w:val="0"/>
                <w:sz w:val="21"/>
                <w:szCs w:val="21"/>
                <w:highlight w:val="none"/>
                <w:lang w:eastAsia="zh-CN"/>
              </w:rPr>
              <w:t>。</w:t>
            </w:r>
          </w:p>
        </w:tc>
        <w:tc>
          <w:tcPr>
            <w:tcW w:w="36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414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01"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63"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11</w:t>
            </w:r>
          </w:p>
        </w:tc>
        <w:tc>
          <w:tcPr>
            <w:tcW w:w="1295"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191"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未及时组织或者会同项目法人组织施工图纸技术交底会议</w:t>
            </w:r>
            <w:r>
              <w:rPr>
                <w:rFonts w:hint="eastAsia" w:ascii="仿宋_GB2312" w:hAnsi="仿宋_GB2312" w:eastAsia="仿宋_GB2312" w:cs="仿宋_GB2312"/>
                <w:kern w:val="0"/>
                <w:sz w:val="21"/>
                <w:szCs w:val="21"/>
                <w:highlight w:val="none"/>
                <w:lang w:eastAsia="zh-CN"/>
              </w:rPr>
              <w:t>。</w:t>
            </w:r>
          </w:p>
        </w:tc>
        <w:tc>
          <w:tcPr>
            <w:tcW w:w="36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414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01"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63"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12</w:t>
            </w:r>
          </w:p>
        </w:tc>
        <w:tc>
          <w:tcPr>
            <w:tcW w:w="1295"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191"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未按规定对施工组织设计、施工方案等技术方案进行审批</w:t>
            </w:r>
            <w:r>
              <w:rPr>
                <w:rFonts w:hint="eastAsia" w:ascii="仿宋_GB2312" w:hAnsi="仿宋_GB2312" w:eastAsia="仿宋_GB2312" w:cs="仿宋_GB2312"/>
                <w:kern w:val="0"/>
                <w:sz w:val="21"/>
                <w:szCs w:val="21"/>
                <w:highlight w:val="none"/>
                <w:lang w:eastAsia="zh-CN"/>
              </w:rPr>
              <w:t>。</w:t>
            </w:r>
          </w:p>
        </w:tc>
        <w:tc>
          <w:tcPr>
            <w:tcW w:w="36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414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01"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63"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13</w:t>
            </w:r>
          </w:p>
        </w:tc>
        <w:tc>
          <w:tcPr>
            <w:tcW w:w="1295"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191"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不按合同约定审核工程施工结算资料；不配合办理结算评审和审计</w:t>
            </w:r>
            <w:r>
              <w:rPr>
                <w:rFonts w:hint="eastAsia" w:ascii="仿宋_GB2312" w:hAnsi="仿宋_GB2312" w:eastAsia="仿宋_GB2312" w:cs="仿宋_GB2312"/>
                <w:kern w:val="0"/>
                <w:sz w:val="21"/>
                <w:szCs w:val="21"/>
                <w:highlight w:val="none"/>
                <w:lang w:eastAsia="zh-CN"/>
              </w:rPr>
              <w:t>。</w:t>
            </w:r>
          </w:p>
        </w:tc>
        <w:tc>
          <w:tcPr>
            <w:tcW w:w="36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414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01"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63"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14</w:t>
            </w:r>
          </w:p>
        </w:tc>
        <w:tc>
          <w:tcPr>
            <w:tcW w:w="1295"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191"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违规向施工单位推荐分包队伍、材料设备供应商</w:t>
            </w:r>
            <w:r>
              <w:rPr>
                <w:rFonts w:hint="eastAsia" w:ascii="仿宋_GB2312" w:hAnsi="仿宋_GB2312" w:eastAsia="仿宋_GB2312" w:cs="仿宋_GB2312"/>
                <w:kern w:val="0"/>
                <w:sz w:val="21"/>
                <w:szCs w:val="21"/>
                <w:highlight w:val="none"/>
                <w:lang w:eastAsia="zh-CN"/>
              </w:rPr>
              <w:t>。</w:t>
            </w:r>
          </w:p>
        </w:tc>
        <w:tc>
          <w:tcPr>
            <w:tcW w:w="36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414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01"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63"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15</w:t>
            </w:r>
          </w:p>
        </w:tc>
        <w:tc>
          <w:tcPr>
            <w:tcW w:w="1295"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191"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未对工程施工合同中允许分包的施工分包合同进行审核</w:t>
            </w:r>
            <w:r>
              <w:rPr>
                <w:rFonts w:hint="eastAsia" w:ascii="仿宋_GB2312" w:hAnsi="仿宋_GB2312" w:eastAsia="仿宋_GB2312" w:cs="仿宋_GB2312"/>
                <w:kern w:val="0"/>
                <w:sz w:val="21"/>
                <w:szCs w:val="21"/>
                <w:highlight w:val="none"/>
                <w:lang w:eastAsia="zh-CN"/>
              </w:rPr>
              <w:t>。</w:t>
            </w:r>
          </w:p>
        </w:tc>
        <w:tc>
          <w:tcPr>
            <w:tcW w:w="36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414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01"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63"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16</w:t>
            </w:r>
          </w:p>
        </w:tc>
        <w:tc>
          <w:tcPr>
            <w:tcW w:w="1295"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191"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工程施工中的质量缺陷，监理单位应当发现而未发现或发现后未及时采取措施</w:t>
            </w:r>
            <w:r>
              <w:rPr>
                <w:rFonts w:hint="eastAsia" w:ascii="仿宋_GB2312" w:hAnsi="仿宋_GB2312" w:eastAsia="仿宋_GB2312" w:cs="仿宋_GB2312"/>
                <w:kern w:val="0"/>
                <w:sz w:val="21"/>
                <w:szCs w:val="21"/>
                <w:highlight w:val="none"/>
                <w:lang w:eastAsia="zh-CN"/>
              </w:rPr>
              <w:t>。</w:t>
            </w:r>
          </w:p>
        </w:tc>
        <w:tc>
          <w:tcPr>
            <w:tcW w:w="36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414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01"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63"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17</w:t>
            </w:r>
          </w:p>
        </w:tc>
        <w:tc>
          <w:tcPr>
            <w:tcW w:w="1295"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191"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对主管部门、水利工程质量监督机构和项目法人提出的整改意见未能及时回复</w:t>
            </w:r>
            <w:r>
              <w:rPr>
                <w:rFonts w:hint="eastAsia" w:ascii="仿宋_GB2312" w:hAnsi="仿宋_GB2312" w:eastAsia="仿宋_GB2312" w:cs="仿宋_GB2312"/>
                <w:kern w:val="0"/>
                <w:sz w:val="21"/>
                <w:szCs w:val="21"/>
                <w:highlight w:val="none"/>
                <w:lang w:eastAsia="zh-CN"/>
              </w:rPr>
              <w:t>。</w:t>
            </w:r>
          </w:p>
        </w:tc>
        <w:tc>
          <w:tcPr>
            <w:tcW w:w="36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414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01"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63"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18</w:t>
            </w:r>
          </w:p>
        </w:tc>
        <w:tc>
          <w:tcPr>
            <w:tcW w:w="1295"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191"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不按合同约定整理工程档案；不按合同约定审查竣工图；不按合同约定配合办理工程竣工验收</w:t>
            </w:r>
            <w:r>
              <w:rPr>
                <w:rFonts w:hint="eastAsia" w:ascii="仿宋_GB2312" w:hAnsi="仿宋_GB2312" w:eastAsia="仿宋_GB2312" w:cs="仿宋_GB2312"/>
                <w:kern w:val="0"/>
                <w:sz w:val="21"/>
                <w:szCs w:val="21"/>
                <w:highlight w:val="none"/>
                <w:lang w:eastAsia="zh-CN"/>
              </w:rPr>
              <w:t>。</w:t>
            </w:r>
          </w:p>
        </w:tc>
        <w:tc>
          <w:tcPr>
            <w:tcW w:w="3686"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4146"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01"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63"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1172"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19</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中标人无正当理由不与招标人订立合同；在签订合同时向招标人提出附加条件；不按照招标文件要求提交履约保证金</w:t>
            </w:r>
            <w:r>
              <w:rPr>
                <w:rFonts w:hint="eastAsia" w:ascii="仿宋_GB2312" w:hAnsi="仿宋_GB2312" w:eastAsia="仿宋_GB2312" w:cs="仿宋_GB2312"/>
                <w:kern w:val="0"/>
                <w:sz w:val="21"/>
                <w:szCs w:val="21"/>
                <w:highlight w:val="none"/>
                <w:lang w:eastAsia="zh-CN"/>
              </w:rPr>
              <w:t>。</w:t>
            </w:r>
          </w:p>
        </w:tc>
        <w:tc>
          <w:tcPr>
            <w:tcW w:w="36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《招标投标法实施条例》第七十四条</w:t>
            </w:r>
          </w:p>
        </w:tc>
        <w:tc>
          <w:tcPr>
            <w:tcW w:w="414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取消其中标资格，投标保证金不予退还。对依法必须进行招标的项目的中标人，由有关行政监督部门责令改正，可以处中标项目金额10‰以下的罚款。</w:t>
            </w:r>
          </w:p>
        </w:tc>
        <w:tc>
          <w:tcPr>
            <w:tcW w:w="1701"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严重；特别严重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12～18</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12～18</w:t>
            </w:r>
          </w:p>
        </w:tc>
      </w:tr>
      <w:tr>
        <w:tblPrEx>
          <w:tblLayout w:type="fixed"/>
          <w:tblCellMar>
            <w:top w:w="0" w:type="dxa"/>
            <w:left w:w="108" w:type="dxa"/>
            <w:bottom w:w="0" w:type="dxa"/>
            <w:right w:w="108" w:type="dxa"/>
          </w:tblCellMar>
        </w:tblPrEx>
        <w:trPr>
          <w:trHeight w:val="664"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20</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与招标人订立合同的主要条款与招标文件、中标人的投标文件的内容不一致；或者招标人、中标人订立背离合同实质性内容的协议</w:t>
            </w:r>
            <w:r>
              <w:rPr>
                <w:rFonts w:hint="eastAsia" w:ascii="仿宋_GB2312" w:hAnsi="仿宋_GB2312" w:eastAsia="仿宋_GB2312" w:cs="仿宋_GB2312"/>
                <w:kern w:val="0"/>
                <w:sz w:val="21"/>
                <w:szCs w:val="21"/>
                <w:highlight w:val="none"/>
                <w:lang w:eastAsia="zh-CN"/>
              </w:rPr>
              <w:t>。</w:t>
            </w:r>
          </w:p>
        </w:tc>
        <w:tc>
          <w:tcPr>
            <w:tcW w:w="36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《招标投标法实施条例》第七十五条</w:t>
            </w:r>
          </w:p>
        </w:tc>
        <w:tc>
          <w:tcPr>
            <w:tcW w:w="414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责令改正，可以处中标项目金额5‰以上10‰以下的罚款。</w:t>
            </w:r>
          </w:p>
        </w:tc>
        <w:tc>
          <w:tcPr>
            <w:tcW w:w="1701"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840"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21</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捏造或者虚构事项投诉干扰招标工作正常进行</w:t>
            </w:r>
            <w:r>
              <w:rPr>
                <w:rFonts w:hint="eastAsia" w:ascii="仿宋_GB2312" w:hAnsi="仿宋_GB2312" w:eastAsia="仿宋_GB2312" w:cs="仿宋_GB2312"/>
                <w:kern w:val="0"/>
                <w:sz w:val="21"/>
                <w:szCs w:val="21"/>
                <w:highlight w:val="none"/>
                <w:lang w:eastAsia="zh-CN"/>
              </w:rPr>
              <w:t>。</w:t>
            </w:r>
          </w:p>
        </w:tc>
        <w:tc>
          <w:tcPr>
            <w:tcW w:w="36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《招标投标法实施条例》第七十七条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《工程建设项目招标投标活动投诉处理办法》（国家七部委11号令）第二十六条</w:t>
            </w:r>
          </w:p>
        </w:tc>
        <w:tc>
          <w:tcPr>
            <w:tcW w:w="414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由行政监督部门驳回投诉，并给予警告；情节严重的，可以并处一万元以下罚款</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给他人造成损失的，依法承担赔偿责任。</w:t>
            </w:r>
          </w:p>
        </w:tc>
        <w:tc>
          <w:tcPr>
            <w:tcW w:w="1701"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735" w:hRule="atLeast"/>
          <w:jc w:val="center"/>
        </w:trPr>
        <w:tc>
          <w:tcPr>
            <w:tcW w:w="656" w:type="dxa"/>
            <w:vMerge w:val="restart"/>
            <w:tcBorders>
              <w:top w:val="single" w:color="auto" w:sz="4" w:space="0"/>
              <w:left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质量安全</w:t>
            </w: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22</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与项目法人或者被监理单位串通，弄虚作假、降低工程质量</w:t>
            </w:r>
            <w:r>
              <w:rPr>
                <w:rFonts w:hint="eastAsia" w:ascii="仿宋_GB2312" w:hAnsi="仿宋_GB2312" w:eastAsia="仿宋_GB2312" w:cs="仿宋_GB2312"/>
                <w:kern w:val="0"/>
                <w:sz w:val="21"/>
                <w:szCs w:val="21"/>
                <w:highlight w:val="none"/>
                <w:lang w:eastAsia="zh-CN"/>
              </w:rPr>
              <w:t>。</w:t>
            </w:r>
          </w:p>
        </w:tc>
        <w:tc>
          <w:tcPr>
            <w:tcW w:w="3686"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《建设工程质量管理条例》第六十七条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《水利工程质量管理规定》第四十</w:t>
            </w:r>
            <w:r>
              <w:rPr>
                <w:rFonts w:hint="eastAsia" w:ascii="仿宋_GB2312" w:hAnsi="仿宋_GB2312" w:eastAsia="仿宋_GB2312" w:cs="仿宋_GB2312"/>
                <w:kern w:val="0"/>
                <w:sz w:val="21"/>
                <w:szCs w:val="21"/>
                <w:highlight w:val="none"/>
                <w:lang w:val="en-US" w:eastAsia="zh-CN"/>
              </w:rPr>
              <w:t>六</w:t>
            </w:r>
            <w:r>
              <w:rPr>
                <w:rFonts w:hint="eastAsia" w:ascii="仿宋_GB2312" w:hAnsi="仿宋_GB2312" w:eastAsia="仿宋_GB2312" w:cs="仿宋_GB2312"/>
                <w:kern w:val="0"/>
                <w:sz w:val="21"/>
                <w:szCs w:val="21"/>
                <w:highlight w:val="none"/>
              </w:rPr>
              <w:t>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《水利工程建设监理规定》第二十七条</w:t>
            </w:r>
          </w:p>
        </w:tc>
        <w:tc>
          <w:tcPr>
            <w:tcW w:w="4146"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责令改正，处50万元以上100万元以下的罚款，降低资质等级或者吊销资质证书；有违法所得的，予以没收；造成损失的，承担连带赔偿责任。</w:t>
            </w:r>
          </w:p>
        </w:tc>
        <w:tc>
          <w:tcPr>
            <w:tcW w:w="1701" w:type="dxa"/>
            <w:vMerge w:val="restart"/>
            <w:tcBorders>
              <w:top w:val="nil"/>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严重；特别严重</w:t>
            </w:r>
          </w:p>
        </w:tc>
        <w:tc>
          <w:tcPr>
            <w:tcW w:w="992"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6～10</w:t>
            </w:r>
          </w:p>
        </w:tc>
        <w:tc>
          <w:tcPr>
            <w:tcW w:w="1134"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12～18</w:t>
            </w:r>
          </w:p>
        </w:tc>
        <w:tc>
          <w:tcPr>
            <w:tcW w:w="1063"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12～18</w:t>
            </w:r>
          </w:p>
        </w:tc>
      </w:tr>
      <w:tr>
        <w:tblPrEx>
          <w:tblLayout w:type="fixed"/>
          <w:tblCellMar>
            <w:top w:w="0" w:type="dxa"/>
            <w:left w:w="108" w:type="dxa"/>
            <w:bottom w:w="0" w:type="dxa"/>
            <w:right w:w="108" w:type="dxa"/>
          </w:tblCellMar>
        </w:tblPrEx>
        <w:trPr>
          <w:trHeight w:val="79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23</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将不合格的建设工程、建筑材料、建筑构配件和设备按照合格签字</w:t>
            </w:r>
            <w:r>
              <w:rPr>
                <w:rFonts w:hint="eastAsia" w:ascii="仿宋_GB2312" w:hAnsi="仿宋_GB2312" w:eastAsia="仿宋_GB2312" w:cs="仿宋_GB2312"/>
                <w:kern w:val="0"/>
                <w:sz w:val="21"/>
                <w:szCs w:val="21"/>
                <w:highlight w:val="none"/>
                <w:lang w:eastAsia="zh-CN"/>
              </w:rPr>
              <w:t>。</w:t>
            </w:r>
          </w:p>
        </w:tc>
        <w:tc>
          <w:tcPr>
            <w:tcW w:w="3686"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4146"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01"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63"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79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24</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与被监理工程的施工承包单位以及建筑材料、建筑构配件和设备供应单位有隶属关系或者其他利害关系承担该项建设工程的监理业务</w:t>
            </w:r>
            <w:r>
              <w:rPr>
                <w:rFonts w:hint="eastAsia" w:ascii="仿宋_GB2312" w:hAnsi="仿宋_GB2312" w:eastAsia="仿宋_GB2312" w:cs="仿宋_GB2312"/>
                <w:kern w:val="0"/>
                <w:sz w:val="21"/>
                <w:szCs w:val="21"/>
                <w:highlight w:val="none"/>
                <w:lang w:eastAsia="zh-CN"/>
              </w:rPr>
              <w:t>。</w:t>
            </w:r>
          </w:p>
        </w:tc>
        <w:tc>
          <w:tcPr>
            <w:tcW w:w="3686" w:type="dxa"/>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《建设工程质量管理条例》第六十八条</w:t>
            </w:r>
          </w:p>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《水利工程质量管理规定》第四十</w:t>
            </w:r>
            <w:r>
              <w:rPr>
                <w:rFonts w:hint="eastAsia" w:ascii="仿宋_GB2312" w:hAnsi="仿宋_GB2312" w:eastAsia="仿宋_GB2312" w:cs="仿宋_GB2312"/>
                <w:kern w:val="0"/>
                <w:sz w:val="21"/>
                <w:szCs w:val="21"/>
                <w:highlight w:val="none"/>
                <w:lang w:val="en-US" w:eastAsia="zh-CN"/>
              </w:rPr>
              <w:t>六</w:t>
            </w:r>
            <w:r>
              <w:rPr>
                <w:rFonts w:hint="eastAsia" w:ascii="仿宋_GB2312" w:hAnsi="仿宋_GB2312" w:eastAsia="仿宋_GB2312" w:cs="仿宋_GB2312"/>
                <w:kern w:val="0"/>
                <w:sz w:val="21"/>
                <w:szCs w:val="21"/>
                <w:highlight w:val="none"/>
              </w:rPr>
              <w:t>条</w:t>
            </w:r>
          </w:p>
        </w:tc>
        <w:tc>
          <w:tcPr>
            <w:tcW w:w="4146" w:type="dxa"/>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责令改正，处5万元以上10万元以下的罚款，降低资质等级或者吊销资质证书；有违法所得的，予以没收。</w:t>
            </w:r>
          </w:p>
        </w:tc>
        <w:tc>
          <w:tcPr>
            <w:tcW w:w="1701" w:type="dxa"/>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严重；特别严重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12～18</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12～18</w:t>
            </w:r>
          </w:p>
        </w:tc>
      </w:tr>
      <w:tr>
        <w:tblPrEx>
          <w:tblLayout w:type="fixed"/>
          <w:tblCellMar>
            <w:top w:w="0" w:type="dxa"/>
            <w:left w:w="108" w:type="dxa"/>
            <w:bottom w:w="0" w:type="dxa"/>
            <w:right w:w="108" w:type="dxa"/>
          </w:tblCellMar>
        </w:tblPrEx>
        <w:trPr>
          <w:trHeight w:val="863"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25</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未建立健全质量管理体系，或者未落实质量责任制。</w:t>
            </w:r>
          </w:p>
        </w:tc>
        <w:tc>
          <w:tcPr>
            <w:tcW w:w="36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《水利工程质量管理规定》第四十三条</w:t>
            </w:r>
          </w:p>
        </w:tc>
        <w:tc>
          <w:tcPr>
            <w:tcW w:w="414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责令改正</w:t>
            </w:r>
            <w:r>
              <w:rPr>
                <w:rFonts w:hint="eastAsia" w:ascii="仿宋_GB2312" w:hAnsi="仿宋_GB2312" w:eastAsia="仿宋_GB2312" w:cs="仿宋_GB2312"/>
                <w:kern w:val="0"/>
                <w:sz w:val="21"/>
                <w:szCs w:val="21"/>
                <w:highlight w:val="none"/>
                <w:lang w:eastAsia="zh-CN"/>
              </w:rPr>
              <w:t>。</w:t>
            </w:r>
          </w:p>
        </w:tc>
        <w:tc>
          <w:tcPr>
            <w:tcW w:w="1701"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lang w:val="en-US" w:eastAsia="zh-CN"/>
              </w:rPr>
              <w:t>不予行政处理的不予公告</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；一般；严重；特别严重（符合规定的，列入严重失信主体名单处理）</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0～18</w:t>
            </w:r>
          </w:p>
        </w:tc>
      </w:tr>
      <w:tr>
        <w:tblPrEx>
          <w:tblLayout w:type="fixed"/>
          <w:tblCellMar>
            <w:top w:w="0" w:type="dxa"/>
            <w:left w:w="108" w:type="dxa"/>
            <w:bottom w:w="0" w:type="dxa"/>
            <w:right w:w="108" w:type="dxa"/>
          </w:tblCellMar>
        </w:tblPrEx>
        <w:trPr>
          <w:trHeight w:val="863"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26</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应当按照有关技术标准和合同要求，采取旁站、巡视、平行检验和见证取样检测等形式，复核原材料、中间产品、设备和单元工程（工序）质量。</w:t>
            </w:r>
          </w:p>
        </w:tc>
        <w:tc>
          <w:tcPr>
            <w:tcW w:w="36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《水利工程质量管理规定》第四十五条</w:t>
            </w:r>
          </w:p>
          <w:p>
            <w:pPr>
              <w:snapToGrid w:val="0"/>
              <w:spacing w:line="240" w:lineRule="auto"/>
              <w:jc w:val="left"/>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《水利工程施工监理规范》（SL288-2014）第3.3.7项、第4.2.1项、第4.2.2项</w:t>
            </w:r>
          </w:p>
        </w:tc>
        <w:tc>
          <w:tcPr>
            <w:tcW w:w="414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rPr>
            </w:pPr>
          </w:p>
        </w:tc>
        <w:tc>
          <w:tcPr>
            <w:tcW w:w="1701"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轻微（不予行政处理的不予公告）；一般；严重；特别严重（符合规定的，列入严重失信主体名单处理）</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2～10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6～18</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0～18</w:t>
            </w:r>
          </w:p>
        </w:tc>
      </w:tr>
      <w:tr>
        <w:tblPrEx>
          <w:tblLayout w:type="fixed"/>
          <w:tblCellMar>
            <w:top w:w="0" w:type="dxa"/>
            <w:left w:w="108" w:type="dxa"/>
            <w:bottom w:w="0" w:type="dxa"/>
            <w:right w:w="108" w:type="dxa"/>
          </w:tblCellMar>
        </w:tblPrEx>
        <w:trPr>
          <w:trHeight w:val="139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27</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发生重大工程质量事故隐瞒不报、谎报或者拖延报告期限</w:t>
            </w:r>
            <w:r>
              <w:rPr>
                <w:rFonts w:hint="eastAsia" w:ascii="仿宋_GB2312" w:hAnsi="仿宋_GB2312" w:eastAsia="仿宋_GB2312" w:cs="仿宋_GB2312"/>
                <w:kern w:val="0"/>
                <w:sz w:val="21"/>
                <w:szCs w:val="21"/>
                <w:highlight w:val="none"/>
                <w:lang w:eastAsia="zh-CN"/>
              </w:rPr>
              <w:t>。</w:t>
            </w:r>
          </w:p>
        </w:tc>
        <w:tc>
          <w:tcPr>
            <w:tcW w:w="36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《建设工程质量管理条例》第七十条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《水利工程质量管理规定》第四十四条</w:t>
            </w:r>
          </w:p>
        </w:tc>
        <w:tc>
          <w:tcPr>
            <w:tcW w:w="414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根据情节轻重，予以通报批评、降低资质等级直至收缴资质证书，经济处理按合同约定办理，触犯法律的，按国家有关法律处理。</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对直接负责的主管人员和其他责任人员依法给予行政处分。</w:t>
            </w:r>
          </w:p>
        </w:tc>
        <w:tc>
          <w:tcPr>
            <w:tcW w:w="1701"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严重；特别严重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12～18</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12～18</w:t>
            </w:r>
          </w:p>
        </w:tc>
      </w:tr>
      <w:tr>
        <w:tblPrEx>
          <w:tblLayout w:type="fixed"/>
          <w:tblCellMar>
            <w:top w:w="0" w:type="dxa"/>
            <w:left w:w="108" w:type="dxa"/>
            <w:bottom w:w="0" w:type="dxa"/>
            <w:right w:w="108" w:type="dxa"/>
          </w:tblCellMar>
        </w:tblPrEx>
        <w:trPr>
          <w:trHeight w:val="1114"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8</w:t>
            </w:r>
          </w:p>
        </w:tc>
        <w:tc>
          <w:tcPr>
            <w:tcW w:w="7486" w:type="dxa"/>
            <w:gridSpan w:val="2"/>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不接受水利工程质量监督机构监督</w:t>
            </w:r>
            <w:r>
              <w:rPr>
                <w:rFonts w:hint="eastAsia" w:ascii="仿宋_GB2312" w:hAnsi="仿宋_GB2312" w:eastAsia="仿宋_GB2312" w:cs="仿宋_GB2312"/>
                <w:kern w:val="0"/>
                <w:sz w:val="21"/>
                <w:szCs w:val="21"/>
                <w:highlight w:val="none"/>
                <w:lang w:eastAsia="zh-CN"/>
              </w:rPr>
              <w:t>。</w:t>
            </w:r>
          </w:p>
        </w:tc>
        <w:tc>
          <w:tcPr>
            <w:tcW w:w="3686" w:type="dxa"/>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五十四</w:t>
            </w:r>
            <w:r>
              <w:rPr>
                <w:rFonts w:hint="eastAsia" w:ascii="仿宋_GB2312" w:hAnsi="仿宋_GB2312" w:eastAsia="仿宋_GB2312" w:cs="仿宋_GB2312"/>
                <w:kern w:val="0"/>
                <w:sz w:val="21"/>
                <w:szCs w:val="21"/>
                <w:highlight w:val="none"/>
              </w:rPr>
              <w:t>条</w:t>
            </w:r>
          </w:p>
        </w:tc>
        <w:tc>
          <w:tcPr>
            <w:tcW w:w="4146" w:type="dxa"/>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根据情节轻重，予以通报批评、降低资质等级直至收缴资质证书，经济处理按合同约定办理，触犯法律的，按国家有关法律处理。</w:t>
            </w:r>
          </w:p>
        </w:tc>
        <w:tc>
          <w:tcPr>
            <w:tcW w:w="170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1660"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2</w:t>
            </w:r>
            <w:r>
              <w:rPr>
                <w:rFonts w:hint="eastAsia" w:ascii="仿宋_GB2312" w:hAnsi="仿宋_GB2312" w:eastAsia="仿宋_GB2312" w:cs="仿宋_GB2312"/>
                <w:kern w:val="0"/>
                <w:sz w:val="21"/>
                <w:szCs w:val="21"/>
                <w:highlight w:val="none"/>
                <w:lang w:val="en-US" w:eastAsia="zh-CN"/>
              </w:rPr>
              <w:t>9</w:t>
            </w:r>
          </w:p>
        </w:tc>
        <w:tc>
          <w:tcPr>
            <w:tcW w:w="7486" w:type="dxa"/>
            <w:gridSpan w:val="2"/>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利用工作便利与项目法人、被监理单位以及建筑材料、建筑构配件和设备供应单位串通，谋取不正当利益</w:t>
            </w:r>
            <w:r>
              <w:rPr>
                <w:rFonts w:hint="eastAsia" w:ascii="仿宋_GB2312" w:hAnsi="仿宋_GB2312" w:eastAsia="仿宋_GB2312" w:cs="仿宋_GB2312"/>
                <w:kern w:val="0"/>
                <w:sz w:val="21"/>
                <w:szCs w:val="21"/>
                <w:highlight w:val="none"/>
                <w:lang w:eastAsia="zh-CN"/>
              </w:rPr>
              <w:t>。</w:t>
            </w:r>
          </w:p>
        </w:tc>
        <w:tc>
          <w:tcPr>
            <w:tcW w:w="3686" w:type="dxa"/>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《水利工程建设监理规定》第二十八条</w:t>
            </w:r>
          </w:p>
        </w:tc>
        <w:tc>
          <w:tcPr>
            <w:tcW w:w="4146" w:type="dxa"/>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责令改正，给予警告；无违法所得的，处1万元以下罚款，有违法所得的，予以追缴，处违法所得3倍以下且不超过3万元罚款；情节严重的，降低资质等级；构成犯罪的，依法追究有关责任人员的刑事责任。</w:t>
            </w:r>
          </w:p>
        </w:tc>
        <w:tc>
          <w:tcPr>
            <w:tcW w:w="1701"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720" w:hRule="atLeast"/>
          <w:jc w:val="center"/>
        </w:trPr>
        <w:tc>
          <w:tcPr>
            <w:tcW w:w="656" w:type="dxa"/>
            <w:vMerge w:val="continue"/>
            <w:tcBorders>
              <w:top w:val="single" w:color="auto" w:sz="4" w:space="0"/>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30</w:t>
            </w:r>
          </w:p>
        </w:tc>
        <w:tc>
          <w:tcPr>
            <w:tcW w:w="7486" w:type="dxa"/>
            <w:gridSpan w:val="2"/>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未对施工组织设计中的安全技术措施或者专项施工方案进行审查</w:t>
            </w:r>
            <w:r>
              <w:rPr>
                <w:rFonts w:hint="eastAsia" w:ascii="仿宋_GB2312" w:hAnsi="仿宋_GB2312" w:eastAsia="仿宋_GB2312" w:cs="仿宋_GB2312"/>
                <w:kern w:val="0"/>
                <w:sz w:val="21"/>
                <w:szCs w:val="21"/>
                <w:highlight w:val="none"/>
                <w:lang w:eastAsia="zh-CN"/>
              </w:rPr>
              <w:t>。</w:t>
            </w:r>
          </w:p>
        </w:tc>
        <w:tc>
          <w:tcPr>
            <w:tcW w:w="3686" w:type="dxa"/>
            <w:vMerge w:val="restart"/>
            <w:tcBorders>
              <w:top w:val="single" w:color="auto" w:sz="4" w:space="0"/>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《建设工程安全生产管理条例》第五十七条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《水利工程建设监理规定》第二十九条</w:t>
            </w:r>
          </w:p>
        </w:tc>
        <w:tc>
          <w:tcPr>
            <w:tcW w:w="4146" w:type="dxa"/>
            <w:vMerge w:val="restart"/>
            <w:tcBorders>
              <w:top w:val="single" w:color="auto" w:sz="4" w:space="0"/>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tc>
        <w:tc>
          <w:tcPr>
            <w:tcW w:w="1701"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轻微；一般；严重；特别严重（符合规定的，列入严重失信主体名单处理）</w:t>
            </w:r>
          </w:p>
        </w:tc>
        <w:tc>
          <w:tcPr>
            <w:tcW w:w="992"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134"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063"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659"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1</w:t>
            </w:r>
          </w:p>
        </w:tc>
        <w:tc>
          <w:tcPr>
            <w:tcW w:w="748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应当发现而未发现或者发现安全事故隐患未及时要求施工单位整改或者暂时停止施工</w:t>
            </w:r>
            <w:r>
              <w:rPr>
                <w:rFonts w:hint="eastAsia" w:ascii="仿宋_GB2312" w:hAnsi="仿宋_GB2312" w:eastAsia="仿宋_GB2312" w:cs="仿宋_GB2312"/>
                <w:kern w:val="0"/>
                <w:sz w:val="21"/>
                <w:szCs w:val="21"/>
                <w:highlight w:val="none"/>
                <w:lang w:eastAsia="zh-CN"/>
              </w:rPr>
              <w:t>。</w:t>
            </w:r>
          </w:p>
        </w:tc>
        <w:tc>
          <w:tcPr>
            <w:tcW w:w="36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414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01"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63"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730"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2</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施工单位拒不整改或者不停止施工，未及时向有关水行政主管部门或者流域管理机构报告</w:t>
            </w:r>
            <w:r>
              <w:rPr>
                <w:rFonts w:hint="eastAsia" w:ascii="仿宋_GB2312" w:hAnsi="仿宋_GB2312" w:eastAsia="仿宋_GB2312" w:cs="仿宋_GB2312"/>
                <w:kern w:val="0"/>
                <w:sz w:val="21"/>
                <w:szCs w:val="21"/>
                <w:highlight w:val="none"/>
                <w:lang w:eastAsia="zh-CN"/>
              </w:rPr>
              <w:t>。</w:t>
            </w:r>
          </w:p>
        </w:tc>
        <w:tc>
          <w:tcPr>
            <w:tcW w:w="36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414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01"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63"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669"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3</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未依照法律、法规和工程建设强制性标准实施监理</w:t>
            </w:r>
            <w:r>
              <w:rPr>
                <w:rFonts w:hint="eastAsia" w:ascii="仿宋_GB2312" w:hAnsi="仿宋_GB2312" w:eastAsia="仿宋_GB2312" w:cs="仿宋_GB2312"/>
                <w:kern w:val="0"/>
                <w:sz w:val="21"/>
                <w:szCs w:val="21"/>
                <w:highlight w:val="none"/>
                <w:lang w:eastAsia="zh-CN"/>
              </w:rPr>
              <w:t>。</w:t>
            </w:r>
          </w:p>
        </w:tc>
        <w:tc>
          <w:tcPr>
            <w:tcW w:w="3686"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4146"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01"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63"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88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4</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利用执 (从)业上的便利，索取或者收受项目法人、被监理单位以及建筑材料、建筑构配件和设备供应单位财物</w:t>
            </w:r>
            <w:r>
              <w:rPr>
                <w:rFonts w:hint="eastAsia" w:ascii="仿宋_GB2312" w:hAnsi="仿宋_GB2312" w:eastAsia="仿宋_GB2312" w:cs="仿宋_GB2312"/>
                <w:kern w:val="0"/>
                <w:sz w:val="21"/>
                <w:szCs w:val="21"/>
                <w:highlight w:val="none"/>
                <w:lang w:eastAsia="zh-CN"/>
              </w:rPr>
              <w:t>。</w:t>
            </w:r>
          </w:p>
        </w:tc>
        <w:tc>
          <w:tcPr>
            <w:tcW w:w="3686"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《水利工程建设监理规定》第三十一条</w:t>
            </w:r>
          </w:p>
        </w:tc>
        <w:tc>
          <w:tcPr>
            <w:tcW w:w="4146"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责令改正，给予警告；其中，监理工程师违规情节严重的，注销注册证书，2年内不予注册；有违法所得的，予以追缴，并处1万元以下罚款；造成损失的，依法承担赔偿责任；构成犯罪的，依法追究刑事责任。</w:t>
            </w:r>
          </w:p>
        </w:tc>
        <w:tc>
          <w:tcPr>
            <w:tcW w:w="1701" w:type="dxa"/>
            <w:vMerge w:val="restart"/>
            <w:tcBorders>
              <w:top w:val="nil"/>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轻微；一般；严重；特别严重（符合规定的，列入严重失信主体名单处理）</w:t>
            </w:r>
          </w:p>
        </w:tc>
        <w:tc>
          <w:tcPr>
            <w:tcW w:w="992"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134"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063"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84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5</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非法泄露执(从)业中应当保守的秘密</w:t>
            </w:r>
            <w:r>
              <w:rPr>
                <w:rFonts w:hint="eastAsia" w:ascii="仿宋_GB2312" w:hAnsi="仿宋_GB2312" w:eastAsia="仿宋_GB2312" w:cs="仿宋_GB2312"/>
                <w:kern w:val="0"/>
                <w:sz w:val="21"/>
                <w:szCs w:val="21"/>
                <w:highlight w:val="none"/>
                <w:lang w:eastAsia="zh-CN"/>
              </w:rPr>
              <w:t>。</w:t>
            </w:r>
          </w:p>
        </w:tc>
        <w:tc>
          <w:tcPr>
            <w:tcW w:w="3686"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4146"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701"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63"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1230"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6</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由于监理单位责任造成质量事故</w:t>
            </w:r>
            <w:r>
              <w:rPr>
                <w:rFonts w:hint="eastAsia" w:ascii="仿宋_GB2312" w:hAnsi="仿宋_GB2312" w:eastAsia="仿宋_GB2312" w:cs="仿宋_GB2312"/>
                <w:kern w:val="0"/>
                <w:sz w:val="21"/>
                <w:szCs w:val="21"/>
                <w:highlight w:val="none"/>
                <w:lang w:eastAsia="zh-CN"/>
              </w:rPr>
              <w:t>。</w:t>
            </w:r>
          </w:p>
        </w:tc>
        <w:tc>
          <w:tcPr>
            <w:tcW w:w="36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《水利工程质量事故处理暂行规定》第三十二条</w:t>
            </w:r>
          </w:p>
        </w:tc>
        <w:tc>
          <w:tcPr>
            <w:tcW w:w="414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令其立即整改并可处以罚款；造成较大以上质量事故的，处以罚款、通报批评、停业整顿、降低资质等级、直至吊销水利工程监理资质证书；对主要责任人处以行政处分、取消监理从业资格、收缴监理工程师资格证书、监理岗位证书；构成犯罪的，移送司法机关依法处理。</w:t>
            </w:r>
          </w:p>
        </w:tc>
        <w:tc>
          <w:tcPr>
            <w:tcW w:w="1701"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轻微；一般；严重；特别严重；（符合规定的，列入严重失信主体名单处理）</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1200"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7</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未按照规定对从业人员、被派遣劳动者、实习学生进行安全生产教育和培训；未按照规定如实告知有关的安全生产事项</w:t>
            </w:r>
            <w:r>
              <w:rPr>
                <w:rFonts w:hint="eastAsia" w:ascii="仿宋_GB2312" w:hAnsi="仿宋_GB2312" w:eastAsia="仿宋_GB2312" w:cs="仿宋_GB2312"/>
                <w:kern w:val="0"/>
                <w:sz w:val="21"/>
                <w:szCs w:val="21"/>
                <w:highlight w:val="none"/>
                <w:lang w:eastAsia="zh-CN"/>
              </w:rPr>
              <w:t>。</w:t>
            </w:r>
          </w:p>
        </w:tc>
        <w:tc>
          <w:tcPr>
            <w:tcW w:w="36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《安全生产法》第九十七条</w:t>
            </w:r>
          </w:p>
        </w:tc>
        <w:tc>
          <w:tcPr>
            <w:tcW w:w="414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责令限期改正，可以处五万元以下的罚款；逾期未改正的，责令停产停业整顿，并处五万元以上十万元以下的罚款，对其直接负责的主管人员和其他直接责任人员处一万元以上二万元以下的罚款。</w:t>
            </w:r>
          </w:p>
        </w:tc>
        <w:tc>
          <w:tcPr>
            <w:tcW w:w="1701"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2～4</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6～9</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6～9</w:t>
            </w:r>
          </w:p>
        </w:tc>
      </w:tr>
      <w:tr>
        <w:tblPrEx>
          <w:tblLayout w:type="fixed"/>
          <w:tblCellMar>
            <w:top w:w="0" w:type="dxa"/>
            <w:left w:w="108" w:type="dxa"/>
            <w:bottom w:w="0" w:type="dxa"/>
            <w:right w:w="108" w:type="dxa"/>
          </w:tblCellMar>
        </w:tblPrEx>
        <w:trPr>
          <w:trHeight w:val="1440"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8</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未为从业人员提供符合国家标准或者行业标准的劳动防护用品</w:t>
            </w:r>
            <w:r>
              <w:rPr>
                <w:rFonts w:hint="eastAsia" w:ascii="仿宋_GB2312" w:hAnsi="仿宋_GB2312" w:eastAsia="仿宋_GB2312" w:cs="仿宋_GB2312"/>
                <w:kern w:val="0"/>
                <w:sz w:val="21"/>
                <w:szCs w:val="21"/>
                <w:highlight w:val="none"/>
                <w:lang w:eastAsia="zh-CN"/>
              </w:rPr>
              <w:t>。</w:t>
            </w:r>
          </w:p>
        </w:tc>
        <w:tc>
          <w:tcPr>
            <w:tcW w:w="36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《安全生产法》第九十九条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《建设工程安全生产管理条例》第六十二条</w:t>
            </w:r>
          </w:p>
        </w:tc>
        <w:tc>
          <w:tcPr>
            <w:tcW w:w="414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1701"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720"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3</w:t>
            </w:r>
            <w:r>
              <w:rPr>
                <w:rFonts w:hint="eastAsia" w:ascii="仿宋_GB2312" w:hAnsi="仿宋_GB2312" w:eastAsia="仿宋_GB2312" w:cs="仿宋_GB2312"/>
                <w:kern w:val="0"/>
                <w:sz w:val="21"/>
                <w:szCs w:val="21"/>
                <w:highlight w:val="none"/>
                <w:lang w:val="en-US" w:eastAsia="zh-CN"/>
              </w:rPr>
              <w:t>9</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与从业人员订立协议，免除或者减轻其对从业人员因生产安全事故伤亡依法应承担的责任</w:t>
            </w:r>
            <w:r>
              <w:rPr>
                <w:rFonts w:hint="eastAsia" w:ascii="仿宋_GB2312" w:hAnsi="仿宋_GB2312" w:eastAsia="仿宋_GB2312" w:cs="仿宋_GB2312"/>
                <w:kern w:val="0"/>
                <w:sz w:val="21"/>
                <w:szCs w:val="21"/>
                <w:highlight w:val="none"/>
                <w:lang w:eastAsia="zh-CN"/>
              </w:rPr>
              <w:t>。</w:t>
            </w:r>
          </w:p>
        </w:tc>
        <w:tc>
          <w:tcPr>
            <w:tcW w:w="36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《安全生产法》第一百零六条</w:t>
            </w:r>
          </w:p>
        </w:tc>
        <w:tc>
          <w:tcPr>
            <w:tcW w:w="414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该协议无效；对生产经营单位的主要负责人、个人经营的投资人处二万元以上十万元以下的罚款。</w:t>
            </w:r>
          </w:p>
        </w:tc>
        <w:tc>
          <w:tcPr>
            <w:tcW w:w="1701"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w:t>
            </w:r>
          </w:p>
        </w:tc>
      </w:tr>
      <w:tr>
        <w:tblPrEx>
          <w:tblLayout w:type="fixed"/>
          <w:tblCellMar>
            <w:top w:w="0" w:type="dxa"/>
            <w:left w:w="108" w:type="dxa"/>
            <w:bottom w:w="0" w:type="dxa"/>
            <w:right w:w="108" w:type="dxa"/>
          </w:tblCellMar>
        </w:tblPrEx>
        <w:trPr>
          <w:trHeight w:val="960"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其他</w:t>
            </w:r>
          </w:p>
        </w:tc>
        <w:tc>
          <w:tcPr>
            <w:tcW w:w="65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40</w:t>
            </w:r>
          </w:p>
        </w:tc>
        <w:tc>
          <w:tcPr>
            <w:tcW w:w="7486"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在相关信用信息平台中录入的信息或向有关行政部门、专业部门提供的信息存在故意隐瞒真实情况、弄虚作假情况</w:t>
            </w:r>
            <w:r>
              <w:rPr>
                <w:rFonts w:hint="eastAsia" w:ascii="仿宋_GB2312" w:hAnsi="仿宋_GB2312" w:eastAsia="仿宋_GB2312" w:cs="仿宋_GB2312"/>
                <w:kern w:val="0"/>
                <w:sz w:val="21"/>
                <w:szCs w:val="21"/>
                <w:highlight w:val="none"/>
                <w:lang w:eastAsia="zh-CN"/>
              </w:rPr>
              <w:t>。</w:t>
            </w:r>
          </w:p>
        </w:tc>
        <w:tc>
          <w:tcPr>
            <w:tcW w:w="36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《水利部关于促进市场公平竞争维护水利建设市场正常秩序的实施意见》</w:t>
            </w:r>
          </w:p>
        </w:tc>
        <w:tc>
          <w:tcPr>
            <w:tcW w:w="414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对在公告信息中隐瞒真实情况、弄虚作假的，作为严重失信行为列入黑名单。对未建立信用档案的市场主体，各级水行政主管部门可依据有关规定采取相应处理措施。</w:t>
            </w:r>
          </w:p>
        </w:tc>
        <w:tc>
          <w:tcPr>
            <w:tcW w:w="1701"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06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bl>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附表3-5  </w:t>
      </w:r>
      <w:r>
        <w:rPr>
          <w:rFonts w:hint="eastAsia" w:ascii="仿宋_GB2312" w:hAnsi="仿宋_GB2312" w:eastAsia="仿宋_GB2312" w:cs="仿宋_GB2312"/>
          <w:kern w:val="0"/>
          <w:sz w:val="32"/>
          <w:szCs w:val="32"/>
          <w:highlight w:val="none"/>
        </w:rPr>
        <w:t>施工单位不良行为认定标准</w:t>
      </w:r>
    </w:p>
    <w:tbl>
      <w:tblPr>
        <w:tblStyle w:val="6"/>
        <w:tblW w:w="21783" w:type="dxa"/>
        <w:jc w:val="center"/>
        <w:tblInd w:w="0" w:type="dxa"/>
        <w:tblLayout w:type="fixed"/>
        <w:tblCellMar>
          <w:top w:w="0" w:type="dxa"/>
          <w:left w:w="108" w:type="dxa"/>
          <w:bottom w:w="0" w:type="dxa"/>
          <w:right w:w="108" w:type="dxa"/>
        </w:tblCellMar>
      </w:tblPr>
      <w:tblGrid>
        <w:gridCol w:w="833"/>
        <w:gridCol w:w="706"/>
        <w:gridCol w:w="1328"/>
        <w:gridCol w:w="5530"/>
        <w:gridCol w:w="3119"/>
        <w:gridCol w:w="5386"/>
        <w:gridCol w:w="1678"/>
        <w:gridCol w:w="992"/>
        <w:gridCol w:w="1077"/>
        <w:gridCol w:w="1134"/>
      </w:tblGrid>
      <w:tr>
        <w:tblPrEx>
          <w:tblLayout w:type="fixed"/>
          <w:tblCellMar>
            <w:top w:w="0" w:type="dxa"/>
            <w:left w:w="108" w:type="dxa"/>
            <w:bottom w:w="0" w:type="dxa"/>
            <w:right w:w="108" w:type="dxa"/>
          </w:tblCellMar>
        </w:tblPrEx>
        <w:trPr>
          <w:trHeight w:val="913" w:hRule="atLeast"/>
          <w:tblHeader/>
          <w:jc w:val="center"/>
        </w:trPr>
        <w:tc>
          <w:tcPr>
            <w:tcW w:w="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行为</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类别</w:t>
            </w:r>
          </w:p>
        </w:tc>
        <w:tc>
          <w:tcPr>
            <w:tcW w:w="70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序号</w:t>
            </w:r>
          </w:p>
        </w:tc>
        <w:tc>
          <w:tcPr>
            <w:tcW w:w="6858" w:type="dxa"/>
            <w:gridSpan w:val="2"/>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不良信用行为</w:t>
            </w:r>
          </w:p>
        </w:tc>
        <w:tc>
          <w:tcPr>
            <w:tcW w:w="3119"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法律法规和规章依据</w:t>
            </w:r>
          </w:p>
        </w:tc>
        <w:tc>
          <w:tcPr>
            <w:tcW w:w="538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行政处理</w:t>
            </w:r>
          </w:p>
        </w:tc>
        <w:tc>
          <w:tcPr>
            <w:tcW w:w="1678"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不良行为等级</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信用</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扣分值</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（分）</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信用扣分</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有效期</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（月）</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信用信息</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公告期</w:t>
            </w:r>
          </w:p>
          <w:p>
            <w:pPr>
              <w:snapToGrid w:val="0"/>
              <w:spacing w:line="240" w:lineRule="auto"/>
              <w:jc w:val="center"/>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（月）</w:t>
            </w:r>
          </w:p>
        </w:tc>
      </w:tr>
      <w:tr>
        <w:tblPrEx>
          <w:tblLayout w:type="fixed"/>
          <w:tblCellMar>
            <w:top w:w="0" w:type="dxa"/>
            <w:left w:w="108" w:type="dxa"/>
            <w:bottom w:w="0" w:type="dxa"/>
            <w:right w:w="108" w:type="dxa"/>
          </w:tblCellMar>
        </w:tblPrEx>
        <w:trPr>
          <w:trHeight w:val="735" w:hRule="atLeast"/>
          <w:jc w:val="center"/>
        </w:trPr>
        <w:tc>
          <w:tcPr>
            <w:tcW w:w="833" w:type="dxa"/>
            <w:vMerge w:val="restart"/>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资质管理</w:t>
            </w: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超越本单位资质等级承揽工程</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责令停止违法行为，处工程合同价款2%以上4%以下的罚款；可以责令停业整顿，降低资质等级；情节严重的，吊销资质证书；有违法所得的，予以没收。</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495"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未取得资质证书承揽工程</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予以取缔，处工程合同价款2%以上4%以下的罚款；有违法所得的，予以没收。</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750"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允许其他单位或者个人以本单位名义承揽工程</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《建设工程质量管理条例》第六十一条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责令改正，没收违法所得，处工程合同价款2%以上4%以下的罚款；可以责令停业整顿，降低资质等级；情节严重的，吊销资质证书。</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720"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未在规定期限内办理资质变更手续</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《建筑业企业资质管理规定》第三十八条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责令限期办理；逾期不办理的，可处以1000元以上1万元以下的罚款</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2～4</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6～9</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6～9</w:t>
            </w:r>
          </w:p>
        </w:tc>
      </w:tr>
      <w:tr>
        <w:tblPrEx>
          <w:tblLayout w:type="fixed"/>
          <w:tblCellMar>
            <w:top w:w="0" w:type="dxa"/>
            <w:left w:w="108" w:type="dxa"/>
            <w:bottom w:w="0" w:type="dxa"/>
            <w:right w:w="108" w:type="dxa"/>
          </w:tblCellMar>
        </w:tblPrEx>
        <w:trPr>
          <w:trHeight w:val="4352" w:hRule="atLeast"/>
          <w:jc w:val="center"/>
        </w:trPr>
        <w:tc>
          <w:tcPr>
            <w:tcW w:w="833" w:type="dxa"/>
            <w:vMerge w:val="restart"/>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w:t>
            </w: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相互串通投标（包括但不限于：1.投标人之间协商投标报价等投标文件的实质性内容；2.投标人之间约定中标人；3.投标人之间约定部分投标人放弃投标或者中标；4.属于同一集团、协会、商会等组织成员的投标人按照该组织要求协同投标；5.投标人之间为谋取中标或者排斥特定投标人而采取的其他联合行动；6.不同投标人的投标文件由同一单位或者个人编制；7.不同投标人委托同一单位或者个人办理投标事宜；8.不同投标人的投标文件载明的项目管理成员为同一人；9.不同投标人的投标文件异常一致或者投标报价呈规律性差异；10.不同投标人的投标文件相互混装；11.不同投标人的投标保证金从同一单位或者个人的账户转出；不同投标人编制的投标文件的实质性内容存在两处以上细节错误一致；12.不同投标人的投标文件由同一电子设备编制、打包加密或者上传，不同投标人的投标文件由同一投标人的电子设备打印、复印；13.不同投标人的投标文件由同一投标人送达或者分发；14.参加投标活动的人员为同一标段其他投标人的在职人员；15.不同投标人的投标保证金从投标人各自的基本账户转出，但是，所需资金来自同一单位或者个人账户。）</w:t>
            </w:r>
          </w:p>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以向招标人或者评标委员会成员行贿等不正当手段谋取中标</w:t>
            </w:r>
            <w:r>
              <w:rPr>
                <w:rFonts w:hint="eastAsia" w:ascii="仿宋_GB2312" w:hAnsi="仿宋_GB2312" w:eastAsia="仿宋_GB2312" w:cs="仿宋_GB2312"/>
                <w:kern w:val="0"/>
                <w:sz w:val="21"/>
                <w:szCs w:val="21"/>
                <w:highlight w:val="none"/>
                <w:lang w:eastAsia="zh-CN"/>
              </w:rPr>
              <w:t>。</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《招标投标法》第五十三条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《招标投标法实施条例》第三十九条、第四十条、第六十七条</w:t>
            </w:r>
          </w:p>
        </w:tc>
        <w:tc>
          <w:tcPr>
            <w:tcW w:w="538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xml:space="preserve">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 </w:t>
            </w:r>
          </w:p>
        </w:tc>
        <w:tc>
          <w:tcPr>
            <w:tcW w:w="167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970"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中标人将中标项目转让给他人的，将中标项目肢解后分别转让给他人的，违反本法规定将中标项目的部分主体、关键性工作分包给他人的，或者分包人再次分包</w:t>
            </w:r>
            <w:r>
              <w:rPr>
                <w:rFonts w:hint="eastAsia" w:ascii="仿宋_GB2312" w:hAnsi="仿宋_GB2312" w:eastAsia="仿宋_GB2312" w:cs="仿宋_GB2312"/>
                <w:kern w:val="0"/>
                <w:sz w:val="21"/>
                <w:szCs w:val="21"/>
                <w:highlight w:val="none"/>
                <w:lang w:eastAsia="zh-CN"/>
              </w:rPr>
              <w:t>。</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《招标投标法》第五十八条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《建设工程质量管理条例》第六十二条</w:t>
            </w:r>
          </w:p>
        </w:tc>
        <w:tc>
          <w:tcPr>
            <w:tcW w:w="538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转让、分包无效，责令改正，没收违法所得，对施工单位处工程合同价款0．5％以上1％以下的罚款；可以责令停业整顿，降低资质等级；情节严重的，吊销资质证书。</w:t>
            </w:r>
          </w:p>
        </w:tc>
        <w:tc>
          <w:tcPr>
            <w:tcW w:w="167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2334"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7</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投标人以他人名义投标或者以其他方式弄虚作假，骗取中标（包括但不限于：1.使用伪造、变造的许可证件；2.提供虚假的财务状况或者业绩；3.提供虚假的项目负责人或者主要技术人员简历、劳动关系证明；4.提供虚假的信用状况；5.使用通过受让或者租借等方式获取的资格、资质证书投标；6.其他弄虚作假的行为。）</w:t>
            </w:r>
          </w:p>
        </w:tc>
        <w:tc>
          <w:tcPr>
            <w:tcW w:w="3119" w:type="dxa"/>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《招标投标法》第五十四条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《招标投标法实施条例》第四十二条</w:t>
            </w:r>
          </w:p>
        </w:tc>
        <w:tc>
          <w:tcPr>
            <w:tcW w:w="5386" w:type="dxa"/>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xml:space="preserve">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 </w:t>
            </w:r>
          </w:p>
        </w:tc>
        <w:tc>
          <w:tcPr>
            <w:tcW w:w="1678"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567"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8</w:t>
            </w:r>
          </w:p>
        </w:tc>
        <w:tc>
          <w:tcPr>
            <w:tcW w:w="1328"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非因不可抗力和招标人原因，不按照与招标人订立的合同履行义务（包括但不限于）</w:t>
            </w:r>
          </w:p>
        </w:tc>
        <w:tc>
          <w:tcPr>
            <w:tcW w:w="5530"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不配合办理开工、质量监督等合同约定的有关工程手续</w:t>
            </w:r>
            <w:r>
              <w:rPr>
                <w:rFonts w:hint="eastAsia" w:ascii="仿宋_GB2312" w:hAnsi="仿宋_GB2312" w:eastAsia="仿宋_GB2312" w:cs="仿宋_GB2312"/>
                <w:kern w:val="0"/>
                <w:sz w:val="21"/>
                <w:szCs w:val="21"/>
                <w:highlight w:val="none"/>
                <w:lang w:eastAsia="zh-CN"/>
              </w:rPr>
              <w:t>。</w:t>
            </w:r>
          </w:p>
        </w:tc>
        <w:tc>
          <w:tcPr>
            <w:tcW w:w="3119"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《招标投标法》第六十条</w:t>
            </w:r>
          </w:p>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三十二条、第三十三条、第五十六条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承包人与项目法人签订的施工承包合同</w:t>
            </w:r>
          </w:p>
        </w:tc>
        <w:tc>
          <w:tcPr>
            <w:tcW w:w="5386"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情节严重的，取消其二年至五年内参加依法必须进行招标的项目的投标资格并予以公告，直至由工商行政管理机关吊销营业执照。</w:t>
            </w:r>
          </w:p>
        </w:tc>
        <w:tc>
          <w:tcPr>
            <w:tcW w:w="1678" w:type="dxa"/>
            <w:vMerge w:val="restart"/>
            <w:tcBorders>
              <w:top w:val="nil"/>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轻微（不予行政处理的不予公告）；一般；严重；特别严重（符合规定的，列入严重失信主体名单处理）</w:t>
            </w:r>
          </w:p>
        </w:tc>
        <w:tc>
          <w:tcPr>
            <w:tcW w:w="992"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077"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34"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0～18</w:t>
            </w:r>
          </w:p>
        </w:tc>
      </w:tr>
      <w:tr>
        <w:tblPrEx>
          <w:tblLayout w:type="fixed"/>
          <w:tblCellMar>
            <w:top w:w="0" w:type="dxa"/>
            <w:left w:w="108" w:type="dxa"/>
            <w:bottom w:w="0" w:type="dxa"/>
            <w:right w:w="108" w:type="dxa"/>
          </w:tblCellMar>
        </w:tblPrEx>
        <w:trPr>
          <w:trHeight w:val="567"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9</w:t>
            </w:r>
          </w:p>
        </w:tc>
        <w:tc>
          <w:tcPr>
            <w:tcW w:w="1328"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530"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施工人员的投入不符合合同约定或不满足施工需要，拒不整改或者整改不到位；或者造成施工质量达不到规定；或者造成工期延误</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67"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10</w:t>
            </w:r>
          </w:p>
        </w:tc>
        <w:tc>
          <w:tcPr>
            <w:tcW w:w="1328"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530"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主要机械设备投入不符合合同约定或不满足施工需要，拒不整改或者整改不到位；或者造成施工质量达不到规定；或者造成工期延误</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67"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11</w:t>
            </w:r>
          </w:p>
        </w:tc>
        <w:tc>
          <w:tcPr>
            <w:tcW w:w="1328"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530"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未按合同约定建立质量保证体系</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67"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12</w:t>
            </w:r>
          </w:p>
        </w:tc>
        <w:tc>
          <w:tcPr>
            <w:tcW w:w="1328"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530"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施工工序及单元工程质量报验和检验不同步，检验数量、频率等不符合检测方案和规范要求</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60"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13</w:t>
            </w:r>
          </w:p>
        </w:tc>
        <w:tc>
          <w:tcPr>
            <w:tcW w:w="1328"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530"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未按合同约定及时提交工程结算资料</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67"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14</w:t>
            </w:r>
          </w:p>
        </w:tc>
        <w:tc>
          <w:tcPr>
            <w:tcW w:w="1328"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530"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对质量缺陷未及时上报和进行处理、备案；或者对较大的质量缺陷处理后未及时申请专项验收</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67"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15</w:t>
            </w:r>
          </w:p>
        </w:tc>
        <w:tc>
          <w:tcPr>
            <w:tcW w:w="1328"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530"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未落实水利工程质量监督机构或监理单位的整改要求</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67"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16</w:t>
            </w:r>
          </w:p>
        </w:tc>
        <w:tc>
          <w:tcPr>
            <w:tcW w:w="1328"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530"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对项目法人或监理单位的通知不及时响应</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67"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17</w:t>
            </w:r>
          </w:p>
        </w:tc>
        <w:tc>
          <w:tcPr>
            <w:tcW w:w="1328"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530"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由于施工单位的原因造成工程建设资料未能及时归档；工程档案资料整理不真实</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rPr>
              <w:t>伪造工程检验或者验收资料</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67"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18</w:t>
            </w:r>
          </w:p>
        </w:tc>
        <w:tc>
          <w:tcPr>
            <w:tcW w:w="1328"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530" w:type="dxa"/>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因施工单位原因造成工程未能如期办理相关验收，或者施工单位不按规定整理工程档案或不按规定编制竣工图</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975"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19</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在收到中标通知书后，中标人因自身原因未在规定时间内签订合同；在签订合同时向招标人提出附加条件；或者不按照招标文件要求提交履约保证金</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《招标投标法实施条例》第七十四条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取消其中标资格，投标保证金不予退还。对依法必须进行招标的项目的中标人，由有关行政监督部门责令改正，可以处中标项目金额10‰以下的罚款。</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严重；特别严重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12～18</w:t>
            </w:r>
          </w:p>
        </w:tc>
      </w:tr>
      <w:tr>
        <w:tblPrEx>
          <w:tblLayout w:type="fixed"/>
          <w:tblCellMar>
            <w:top w:w="0" w:type="dxa"/>
            <w:left w:w="108" w:type="dxa"/>
            <w:bottom w:w="0" w:type="dxa"/>
            <w:right w:w="108" w:type="dxa"/>
          </w:tblCellMar>
        </w:tblPrEx>
        <w:trPr>
          <w:trHeight w:val="800"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20</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与招标人订立合同的主要条款与招标文件、中标人的投标文件的内容不一致；或者招标人、中标人订立背离合同实质性内容的协议</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《招标投标法实施条例》第七十五条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责令改正，可以处中标项目金额5‰以上10‰以下的罚款。</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1415"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21</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捏造或者虚构事项投诉干扰招标工作正常进行</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《招标投标法实施条例》第七十七条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《工程建设项目招标投标活动投诉处理办法》（国家七部委11号令）第二十六条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由行政监督部门驳回投诉，并给予警告；情节严重的，可以并处一万元以下罚款。</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给他人造成损失的，依法承担赔偿责任。</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1375" w:hRule="atLeast"/>
          <w:jc w:val="center"/>
        </w:trPr>
        <w:tc>
          <w:tcPr>
            <w:tcW w:w="833" w:type="dxa"/>
            <w:vMerge w:val="restart"/>
            <w:tcBorders>
              <w:top w:val="nil"/>
              <w:left w:val="single" w:color="auto" w:sz="4" w:space="0"/>
              <w:bottom w:val="single" w:color="000000"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质量安全</w:t>
            </w: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22</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未按规定完善施工组织设计、与本项目有关的危险性较大分部分项工程施工专项方案并遵照执行</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《建设工程安全生产管理条例》第二十六条、第六十五条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施工单位与项目法人签订的施工承建合同</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1258"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23</w:t>
            </w:r>
          </w:p>
        </w:tc>
        <w:tc>
          <w:tcPr>
            <w:tcW w:w="6858" w:type="dxa"/>
            <w:gridSpan w:val="2"/>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在施工中偷工减料的，使用不合格的建筑材料、建筑构配件和设备（含监督抽检、飞行检测发现的不合格原材料、中间产品、构配件及设备、工程实体施工质量、施工安全设施质量）；或者有不按照工程设计图纸或者施工技术标准施工的其他行为</w:t>
            </w:r>
            <w:r>
              <w:rPr>
                <w:rFonts w:hint="eastAsia" w:ascii="仿宋_GB2312" w:hAnsi="仿宋_GB2312" w:eastAsia="仿宋_GB2312" w:cs="仿宋_GB2312"/>
                <w:kern w:val="0"/>
                <w:sz w:val="21"/>
                <w:szCs w:val="21"/>
                <w:highlight w:val="none"/>
                <w:lang w:eastAsia="zh-CN"/>
              </w:rPr>
              <w:t>。</w:t>
            </w:r>
          </w:p>
        </w:tc>
        <w:tc>
          <w:tcPr>
            <w:tcW w:w="3119" w:type="dxa"/>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《建设工程质量管理条例》第六十四条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三十二条</w:t>
            </w:r>
          </w:p>
        </w:tc>
        <w:tc>
          <w:tcPr>
            <w:tcW w:w="5386" w:type="dxa"/>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责令改正，处工程合同价款2％以上4％以下的罚款；造成建设工程质量不符合规定的质量标准的，负责返工、修理，并赔偿因此造成的损失；情节严重的，责令停业整顿，降低资质等级或者吊销资质证书。</w:t>
            </w:r>
          </w:p>
        </w:tc>
        <w:tc>
          <w:tcPr>
            <w:tcW w:w="1678"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一般；严重；特别严重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r>
      <w:tr>
        <w:tblPrEx>
          <w:tblLayout w:type="fixed"/>
          <w:tblCellMar>
            <w:top w:w="0" w:type="dxa"/>
            <w:left w:w="108" w:type="dxa"/>
            <w:bottom w:w="0" w:type="dxa"/>
            <w:right w:w="108" w:type="dxa"/>
          </w:tblCellMar>
        </w:tblPrEx>
        <w:trPr>
          <w:trHeight w:val="981"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24</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未对建筑材料、建筑构配件、设备和商品混凝土进行检验；或者未对涉及结构安全的试块、试件以及有关材料取样检测；或经检测不合格，未按规定进行处理</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《建设工程质量管理条例》第六十五条</w:t>
            </w:r>
          </w:p>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《水利工程质量管理规定》第三十</w:t>
            </w:r>
            <w:r>
              <w:rPr>
                <w:rFonts w:hint="eastAsia" w:ascii="仿宋_GB2312" w:hAnsi="仿宋_GB2312" w:eastAsia="仿宋_GB2312" w:cs="仿宋_GB2312"/>
                <w:kern w:val="0"/>
                <w:sz w:val="21"/>
                <w:szCs w:val="21"/>
                <w:highlight w:val="none"/>
                <w:lang w:val="en-US" w:eastAsia="zh-CN"/>
              </w:rPr>
              <w:t>五</w:t>
            </w:r>
            <w:r>
              <w:rPr>
                <w:rFonts w:hint="eastAsia" w:ascii="仿宋_GB2312" w:hAnsi="仿宋_GB2312" w:eastAsia="仿宋_GB2312" w:cs="仿宋_GB2312"/>
                <w:kern w:val="0"/>
                <w:sz w:val="21"/>
                <w:szCs w:val="21"/>
                <w:highlight w:val="none"/>
              </w:rPr>
              <w:t>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责令改正，处10万元以上20万元以下的罚款；情节严重的，责令停业整顿，降低资质等级或者吊销资质证书；造成损失的，依法承担赔偿责任。</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一般；严重；特别严重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r>
      <w:tr>
        <w:tblPrEx>
          <w:tblLayout w:type="fixed"/>
          <w:tblCellMar>
            <w:top w:w="0" w:type="dxa"/>
            <w:left w:w="108" w:type="dxa"/>
            <w:bottom w:w="0" w:type="dxa"/>
            <w:right w:w="108" w:type="dxa"/>
          </w:tblCellMar>
        </w:tblPrEx>
        <w:trPr>
          <w:trHeight w:val="662"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25</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不履行保修义务或者拖延履行保修义务</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《建设工程质量管理条例》第六十六条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责令改正，处10万元以上20万元以下的罚款，并对在保修期内因质量缺陷造成的损失承担赔偿责任。</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一般</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w:t>
            </w:r>
          </w:p>
        </w:tc>
      </w:tr>
      <w:tr>
        <w:tblPrEx>
          <w:tblLayout w:type="fixed"/>
          <w:tblCellMar>
            <w:top w:w="0" w:type="dxa"/>
            <w:left w:w="108" w:type="dxa"/>
            <w:bottom w:w="0" w:type="dxa"/>
            <w:right w:w="108" w:type="dxa"/>
          </w:tblCellMar>
        </w:tblPrEx>
        <w:trPr>
          <w:trHeight w:val="1265"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26</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单元工程（工序）的质量未经监理机构复核合格并签字同意或者复核不合格，即擅自进入下一单元工程（工序）施工</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《建设工程质量管理条例》第三十七条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《水利工程质量管理规定》第三十</w:t>
            </w:r>
            <w:r>
              <w:rPr>
                <w:rFonts w:hint="eastAsia" w:ascii="仿宋_GB2312" w:hAnsi="仿宋_GB2312" w:eastAsia="仿宋_GB2312" w:cs="仿宋_GB2312"/>
                <w:kern w:val="0"/>
                <w:sz w:val="21"/>
                <w:szCs w:val="21"/>
                <w:highlight w:val="none"/>
                <w:lang w:val="en-US" w:eastAsia="zh-CN"/>
              </w:rPr>
              <w:t>六</w:t>
            </w:r>
            <w:r>
              <w:rPr>
                <w:rFonts w:hint="eastAsia" w:ascii="仿宋_GB2312" w:hAnsi="仿宋_GB2312" w:eastAsia="仿宋_GB2312" w:cs="仿宋_GB2312"/>
                <w:kern w:val="0"/>
                <w:sz w:val="21"/>
                <w:szCs w:val="21"/>
                <w:highlight w:val="none"/>
              </w:rPr>
              <w:t>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建设单位不得拨付工程款，不进行竣工验收。</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一般；严重；特别严重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r>
      <w:tr>
        <w:tblPrEx>
          <w:tblLayout w:type="fixed"/>
          <w:tblCellMar>
            <w:top w:w="0" w:type="dxa"/>
            <w:left w:w="108" w:type="dxa"/>
            <w:bottom w:w="0" w:type="dxa"/>
            <w:right w:w="108" w:type="dxa"/>
          </w:tblCellMar>
        </w:tblPrEx>
        <w:trPr>
          <w:trHeight w:val="687"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27</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lang w:val="en-US" w:eastAsia="zh-CN"/>
              </w:rPr>
              <w:t>未</w:t>
            </w:r>
            <w:r>
              <w:rPr>
                <w:rFonts w:hint="eastAsia" w:ascii="仿宋_GB2312" w:hAnsi="仿宋_GB2312" w:eastAsia="仿宋_GB2312" w:cs="仿宋_GB2312"/>
                <w:kern w:val="0"/>
                <w:sz w:val="21"/>
                <w:szCs w:val="21"/>
                <w:highlight w:val="none"/>
              </w:rPr>
              <w:t>形成完整、可追溯的施工质量管理文件资料，</w:t>
            </w:r>
            <w:r>
              <w:rPr>
                <w:rFonts w:hint="eastAsia" w:ascii="仿宋_GB2312" w:hAnsi="仿宋_GB2312" w:eastAsia="仿宋_GB2312" w:cs="仿宋_GB2312"/>
                <w:kern w:val="0"/>
                <w:sz w:val="21"/>
                <w:szCs w:val="21"/>
                <w:highlight w:val="none"/>
                <w:lang w:val="en-US" w:eastAsia="zh-CN"/>
              </w:rPr>
              <w:t>或者未</w:t>
            </w:r>
            <w:r>
              <w:rPr>
                <w:rFonts w:hint="eastAsia" w:ascii="仿宋_GB2312" w:hAnsi="仿宋_GB2312" w:eastAsia="仿宋_GB2312" w:cs="仿宋_GB2312"/>
                <w:kern w:val="0"/>
                <w:sz w:val="21"/>
                <w:szCs w:val="21"/>
                <w:highlight w:val="none"/>
              </w:rPr>
              <w:t>按照档案管理的有关规定进行收集、整理和归档。</w:t>
            </w:r>
          </w:p>
        </w:tc>
        <w:tc>
          <w:tcPr>
            <w:tcW w:w="3119"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《水利工程质量管理规定》第三十</w:t>
            </w:r>
            <w:r>
              <w:rPr>
                <w:rFonts w:hint="eastAsia" w:ascii="仿宋_GB2312" w:hAnsi="仿宋_GB2312" w:eastAsia="仿宋_GB2312" w:cs="仿宋_GB2312"/>
                <w:kern w:val="0"/>
                <w:sz w:val="21"/>
                <w:szCs w:val="21"/>
                <w:highlight w:val="none"/>
                <w:lang w:val="en-US" w:eastAsia="zh-CN"/>
              </w:rPr>
              <w:t>七</w:t>
            </w:r>
            <w:r>
              <w:rPr>
                <w:rFonts w:hint="eastAsia" w:ascii="仿宋_GB2312" w:hAnsi="仿宋_GB2312" w:eastAsia="仿宋_GB2312" w:cs="仿宋_GB2312"/>
                <w:kern w:val="0"/>
                <w:sz w:val="21"/>
                <w:szCs w:val="21"/>
                <w:highlight w:val="none"/>
              </w:rPr>
              <w:t>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施工单位与项目法人签订的施工承建合同</w:t>
            </w:r>
          </w:p>
        </w:tc>
        <w:tc>
          <w:tcPr>
            <w:tcW w:w="5386"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予以通报批评、降低资质等级直至收缴资质证书，经济处理按合同约定办理，触犯法律的，按国家有关法律处理。</w:t>
            </w:r>
          </w:p>
        </w:tc>
        <w:tc>
          <w:tcPr>
            <w:tcW w:w="1678" w:type="dxa"/>
            <w:vMerge w:val="restart"/>
            <w:tcBorders>
              <w:top w:val="nil"/>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992"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077"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34"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654"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28</w:t>
            </w:r>
          </w:p>
        </w:tc>
        <w:tc>
          <w:tcPr>
            <w:tcW w:w="6858" w:type="dxa"/>
            <w:gridSpan w:val="2"/>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主体工程的隐蔽部位施工、质量问题处理等，</w:t>
            </w:r>
            <w:r>
              <w:rPr>
                <w:rFonts w:hint="eastAsia" w:ascii="仿宋_GB2312" w:hAnsi="仿宋_GB2312" w:eastAsia="仿宋_GB2312" w:cs="仿宋_GB2312"/>
                <w:kern w:val="0"/>
                <w:sz w:val="21"/>
                <w:szCs w:val="21"/>
                <w:highlight w:val="none"/>
                <w:lang w:val="en-US" w:eastAsia="zh-CN"/>
              </w:rPr>
              <w:t>未</w:t>
            </w:r>
            <w:r>
              <w:rPr>
                <w:rFonts w:hint="eastAsia" w:ascii="仿宋_GB2312" w:hAnsi="仿宋_GB2312" w:eastAsia="仿宋_GB2312" w:cs="仿宋_GB2312"/>
                <w:kern w:val="0"/>
                <w:sz w:val="21"/>
                <w:szCs w:val="21"/>
                <w:highlight w:val="none"/>
              </w:rPr>
              <w:t>保留照片、音视频文件资料。</w:t>
            </w:r>
          </w:p>
        </w:tc>
        <w:tc>
          <w:tcPr>
            <w:tcW w:w="3119"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947"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29</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不接受水利工程质量监督机构监督</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五十四</w:t>
            </w:r>
            <w:r>
              <w:rPr>
                <w:rFonts w:hint="eastAsia" w:ascii="仿宋_GB2312" w:hAnsi="仿宋_GB2312" w:eastAsia="仿宋_GB2312" w:cs="仿宋_GB2312"/>
                <w:kern w:val="0"/>
                <w:sz w:val="21"/>
                <w:szCs w:val="21"/>
                <w:highlight w:val="none"/>
              </w:rPr>
              <w:t>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根据情节轻重，予以通报批评、降低资质等级直至收缴资质证书，经济处理按合同约定办理，触犯法律的，按国家有关法律处理。</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1484"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30</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由于施工单位责任造成质量事故</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《水利工程质量事故处理暂行规定》第三十四条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令其立即自筹资金进行事故处理，并处以罚款；造成较大以上质量事故的，处以通报批评、停业整顿、降低资质等级、直至吊销资质证书；对主要责任人处以行政处分、取消水利工程施工执业资格；构成犯罪的，移送司法机关依法处理。</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一般；严重；特别严重（符合规定的，列入严重失信主体名单处理）</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r>
      <w:tr>
        <w:tblPrEx>
          <w:tblLayout w:type="fixed"/>
          <w:tblCellMar>
            <w:top w:w="0" w:type="dxa"/>
            <w:left w:w="108" w:type="dxa"/>
            <w:bottom w:w="0" w:type="dxa"/>
            <w:right w:w="108" w:type="dxa"/>
          </w:tblCellMar>
        </w:tblPrEx>
        <w:trPr>
          <w:trHeight w:val="1678"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31</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不依照有关规定保证安全生产所必需的资金投入，致使生产经营单位不具备安全生产条件</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《安全生产法》第九十三条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责令限期改正，提供必需的资金；逾期未改正的，责令停产停业整顿。</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有前款违法行为，导致发生生产安全事故的，对生产经营单位的主要负责人给予撤职处分，对个人经营的投资人处二万元以上二十万元以下的罚款；构成犯罪的，依照刑法有关规定追究刑事责任。</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轻微；一般；严重；特别严重（符合规定的，列入严重失信主体名单处理）</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584"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32</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未按照规定设置安全生产管理机构或者配备安全生产管理人员、注册安全工程师</w:t>
            </w:r>
            <w:r>
              <w:rPr>
                <w:rFonts w:hint="eastAsia" w:ascii="仿宋_GB2312" w:hAnsi="仿宋_GB2312" w:eastAsia="仿宋_GB2312" w:cs="仿宋_GB2312"/>
                <w:kern w:val="0"/>
                <w:sz w:val="21"/>
                <w:szCs w:val="21"/>
                <w:highlight w:val="none"/>
                <w:lang w:eastAsia="zh-CN"/>
              </w:rPr>
              <w:t>。</w:t>
            </w:r>
          </w:p>
        </w:tc>
        <w:tc>
          <w:tcPr>
            <w:tcW w:w="3119"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《安全生产法》第九十七条</w:t>
            </w:r>
          </w:p>
        </w:tc>
        <w:tc>
          <w:tcPr>
            <w:tcW w:w="5386"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责令限期改正，处十万元以下的罚款；逾期未改正的，责令停产停业整顿，并处十万元以上二十万元以下的罚款，对其直接负责的主管人员和其他直接责任人员处二万元以上五万元以下的罚款。</w:t>
            </w:r>
          </w:p>
        </w:tc>
        <w:tc>
          <w:tcPr>
            <w:tcW w:w="1678" w:type="dxa"/>
            <w:vMerge w:val="restart"/>
            <w:tcBorders>
              <w:top w:val="nil"/>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一般</w:t>
            </w:r>
          </w:p>
        </w:tc>
        <w:tc>
          <w:tcPr>
            <w:tcW w:w="992"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w:t>
            </w:r>
          </w:p>
        </w:tc>
        <w:tc>
          <w:tcPr>
            <w:tcW w:w="1077"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w:t>
            </w:r>
          </w:p>
        </w:tc>
        <w:tc>
          <w:tcPr>
            <w:tcW w:w="1134"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w:t>
            </w:r>
          </w:p>
        </w:tc>
      </w:tr>
      <w:tr>
        <w:tblPrEx>
          <w:tblLayout w:type="fixed"/>
          <w:tblCellMar>
            <w:top w:w="0" w:type="dxa"/>
            <w:left w:w="108" w:type="dxa"/>
            <w:bottom w:w="0" w:type="dxa"/>
            <w:right w:w="108" w:type="dxa"/>
          </w:tblCellMar>
        </w:tblPrEx>
        <w:trPr>
          <w:trHeight w:val="500"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33</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施工单位主要负责人和安全生产管理人员未按照规定经考核合格</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90"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34</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未按照规定对从业人员、被派遣劳动者、实习学生进行安全生产教育和培训，或者未按照规定如实告知有关的安全生产事项</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476"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35</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未如实记录安全生产教育和培训情况</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00"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36</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未将事故隐患排查治理情况如实记录或者未向从业人员通报</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481"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37</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未按照规定制定生产安全事故应急救援预案或者未定期组织演练</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90"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38</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特种作业人员未按照规定经专门的安全作业培训并取得相应资格，上岗作业</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1169" w:hRule="atLeast"/>
          <w:jc w:val="center"/>
        </w:trPr>
        <w:tc>
          <w:tcPr>
            <w:tcW w:w="833" w:type="dxa"/>
            <w:vMerge w:val="continue"/>
            <w:tcBorders>
              <w:top w:val="single" w:color="auto" w:sz="4" w:space="0"/>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39</w:t>
            </w:r>
          </w:p>
        </w:tc>
        <w:tc>
          <w:tcPr>
            <w:tcW w:w="6858" w:type="dxa"/>
            <w:gridSpan w:val="2"/>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在有较大危险因素的生产经营场所和有关设施、设备（包括但不限于：施工现场入口处、施工起重机械、临时用电设施、脚手架、出入通道口、楼梯口、电梯井口、孔洞口、桥梁口、隧道口、基坑边沿、爆破物及有害危险气体和液体存放处等危险部位）上设置明显的安全警示标志</w:t>
            </w:r>
            <w:r>
              <w:rPr>
                <w:rFonts w:hint="eastAsia" w:ascii="仿宋_GB2312" w:hAnsi="仿宋_GB2312" w:eastAsia="仿宋_GB2312" w:cs="仿宋_GB2312"/>
                <w:kern w:val="0"/>
                <w:sz w:val="21"/>
                <w:szCs w:val="21"/>
                <w:highlight w:val="none"/>
                <w:lang w:eastAsia="zh-CN"/>
              </w:rPr>
              <w:t>。</w:t>
            </w:r>
          </w:p>
        </w:tc>
        <w:tc>
          <w:tcPr>
            <w:tcW w:w="3119" w:type="dxa"/>
            <w:vMerge w:val="restart"/>
            <w:tcBorders>
              <w:top w:val="single" w:color="auto" w:sz="4" w:space="0"/>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《安全生产法》第九十九条</w:t>
            </w:r>
          </w:p>
        </w:tc>
        <w:tc>
          <w:tcPr>
            <w:tcW w:w="5386" w:type="dxa"/>
            <w:vMerge w:val="restart"/>
            <w:tcBorders>
              <w:top w:val="single" w:color="auto" w:sz="4" w:space="0"/>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1678"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992"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077"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34"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470"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40</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未为从业人员提供符合国家标准或者行业标准的劳动防护用品</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24"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41</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使用应当淘汰的危及生产安全的工艺、设备</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823"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42</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安全设备（包括但不限于：施工起重机械、临时用电设施、脚手架、安全通道、安全护栏、防坠落设施、吊篮、施工机具等）的安装、使用、检测、改造和报废不符合国家标准或者行业标准</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46"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43</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未对安全设备进行经常性维护、保养和定期检测</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646"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44</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危险物品的容器、运输工具未经具有专业资质的机构检测、检验合格，取得安全使用证或者安全标志，投入使用</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685"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45</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生产、经营、运输、储存、使用危险物品或者处置废弃危险物品，未建立专门安全管理制度、未采取可靠的安全措施</w:t>
            </w:r>
            <w:r>
              <w:rPr>
                <w:rFonts w:hint="eastAsia" w:ascii="仿宋_GB2312" w:hAnsi="仿宋_GB2312" w:eastAsia="仿宋_GB2312" w:cs="仿宋_GB2312"/>
                <w:kern w:val="0"/>
                <w:sz w:val="21"/>
                <w:szCs w:val="21"/>
                <w:highlight w:val="none"/>
                <w:lang w:eastAsia="zh-CN"/>
              </w:rPr>
              <w:t>。</w:t>
            </w:r>
          </w:p>
        </w:tc>
        <w:tc>
          <w:tcPr>
            <w:tcW w:w="3119"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《安全生产法》第一百零一条</w:t>
            </w:r>
          </w:p>
        </w:tc>
        <w:tc>
          <w:tcPr>
            <w:tcW w:w="5386"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1678" w:type="dxa"/>
            <w:vMerge w:val="restart"/>
            <w:tcBorders>
              <w:top w:val="nil"/>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992"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077"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34"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712"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46</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对重大危险源未登记建档，或者未进行定期检测、评估、监控，未制定应急预案，或者未告知应急措施</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703"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47</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进行爆破、吊装、动火、临时用电以及国务院应急管理部门会同国务院有关部门规定的其他危险作业，未安排专门人员进行现场安全管理</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676"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48</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未建立安全风险分级管控制度或者未按照安全风险分级采取相应管控措施</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711"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49</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未建立事故隐患排查治理制度，或者重大事故隐患排查治理情况未按照规定报告</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1216"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50</w:t>
            </w:r>
          </w:p>
        </w:tc>
        <w:tc>
          <w:tcPr>
            <w:tcW w:w="68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未采取措施消除事故隐患的生产经营单位拒不执行的</w:t>
            </w:r>
            <w:r>
              <w:rPr>
                <w:rFonts w:hint="eastAsia" w:ascii="仿宋_GB2312" w:hAnsi="仿宋_GB2312" w:eastAsia="仿宋_GB2312" w:cs="仿宋_GB2312"/>
                <w:kern w:val="0"/>
                <w:sz w:val="21"/>
                <w:szCs w:val="21"/>
                <w:highlight w:val="none"/>
                <w:lang w:eastAsia="zh-CN"/>
              </w:rPr>
              <w:t>。</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《安全生产法》第一百零二条</w:t>
            </w:r>
          </w:p>
        </w:tc>
        <w:tc>
          <w:tcPr>
            <w:tcW w:w="538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立即消除或者限期消除，可以处五万元以下的罚款；拒不执行的，责令停产停业整顿，对其直接负责的主管人员和其他直接责任人员处五万元以上十万元以下的罚款；构成犯罪的，依照刑法有关规定追究刑事责任。</w:t>
            </w:r>
          </w:p>
        </w:tc>
        <w:tc>
          <w:tcPr>
            <w:tcW w:w="167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970"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51</w:t>
            </w:r>
          </w:p>
        </w:tc>
        <w:tc>
          <w:tcPr>
            <w:tcW w:w="68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两个以上生产经营单位在同一作业区域内进行可能危及对方安全生产的生产经营活动，未签订安全生产管理协议或者未指定专职安全生产管理人员进行安全检查与协调的</w:t>
            </w:r>
            <w:r>
              <w:rPr>
                <w:rFonts w:hint="eastAsia" w:ascii="仿宋_GB2312" w:hAnsi="仿宋_GB2312" w:eastAsia="仿宋_GB2312" w:cs="仿宋_GB2312"/>
                <w:kern w:val="0"/>
                <w:sz w:val="21"/>
                <w:szCs w:val="21"/>
                <w:highlight w:val="none"/>
                <w:lang w:eastAsia="zh-CN"/>
              </w:rPr>
              <w:t>。</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《安全生产法》第一百零四条</w:t>
            </w:r>
          </w:p>
        </w:tc>
        <w:tc>
          <w:tcPr>
            <w:tcW w:w="538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责令限期改正，处五万元以下的罚款，对其直接负责的主管人员和其他直接责任人员处一万元以下的罚款；逾期未改正的，责令停产停业。</w:t>
            </w:r>
          </w:p>
        </w:tc>
        <w:tc>
          <w:tcPr>
            <w:tcW w:w="167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2～4</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6～9</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6～9</w:t>
            </w:r>
          </w:p>
        </w:tc>
      </w:tr>
      <w:tr>
        <w:tblPrEx>
          <w:tblLayout w:type="fixed"/>
          <w:tblCellMar>
            <w:top w:w="0" w:type="dxa"/>
            <w:left w:w="108" w:type="dxa"/>
            <w:bottom w:w="0" w:type="dxa"/>
            <w:right w:w="108" w:type="dxa"/>
          </w:tblCellMar>
        </w:tblPrEx>
        <w:trPr>
          <w:trHeight w:val="639"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52</w:t>
            </w:r>
          </w:p>
        </w:tc>
        <w:tc>
          <w:tcPr>
            <w:tcW w:w="6858" w:type="dxa"/>
            <w:gridSpan w:val="2"/>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生产、经营、储存、使用危险物品的仓库与员工宿舍在同一座建筑内；或者与员工宿舍的距离不符合安全要求</w:t>
            </w:r>
            <w:r>
              <w:rPr>
                <w:rFonts w:hint="eastAsia" w:ascii="仿宋_GB2312" w:hAnsi="仿宋_GB2312" w:eastAsia="仿宋_GB2312" w:cs="仿宋_GB2312"/>
                <w:kern w:val="0"/>
                <w:sz w:val="21"/>
                <w:szCs w:val="21"/>
                <w:highlight w:val="none"/>
                <w:lang w:eastAsia="zh-CN"/>
              </w:rPr>
              <w:t>。</w:t>
            </w:r>
          </w:p>
        </w:tc>
        <w:tc>
          <w:tcPr>
            <w:tcW w:w="3119" w:type="dxa"/>
            <w:vMerge w:val="restart"/>
            <w:tcBorders>
              <w:top w:val="single" w:color="auto" w:sz="4" w:space="0"/>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《安全生产法》第一百零五条</w:t>
            </w:r>
          </w:p>
        </w:tc>
        <w:tc>
          <w:tcPr>
            <w:tcW w:w="5386" w:type="dxa"/>
            <w:vMerge w:val="restart"/>
            <w:tcBorders>
              <w:top w:val="single" w:color="auto" w:sz="4" w:space="0"/>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责令限期改正，可以处五万元以下的罚款，对其直接负责的主管人员和其他直接责任人员可以处一万元以下的罚款；逾期未改正的，责令停产停业整顿；构成犯罪的，依照刑法有关规定追究刑事责任。</w:t>
            </w:r>
          </w:p>
        </w:tc>
        <w:tc>
          <w:tcPr>
            <w:tcW w:w="1678"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992"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077"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34"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843"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53</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生产经营场所和员工宿舍未设有符合紧急疏散需要、标志明显、保持畅通的出口、疏散通道，或者占用、锁闭、封堵生产经营场所或者员工宿舍出口、疏散通道</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778"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54</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与从业人员订立协议，免除或者减轻其对从业人员因生产安全事故伤亡依法应承担的责任</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《安全生产法》第一百零六条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该协议无效；对生产经营单位的主要负责人、个人经营的投资人处二万元以上十万元以下的罚款。</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w:t>
            </w:r>
          </w:p>
        </w:tc>
      </w:tr>
      <w:tr>
        <w:tblPrEx>
          <w:tblLayout w:type="fixed"/>
          <w:tblCellMar>
            <w:top w:w="0" w:type="dxa"/>
            <w:left w:w="108" w:type="dxa"/>
            <w:bottom w:w="0" w:type="dxa"/>
            <w:right w:w="108" w:type="dxa"/>
          </w:tblCellMar>
        </w:tblPrEx>
        <w:trPr>
          <w:trHeight w:val="1442"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55</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生产经营单位的主要负责人在本单位发生生产安全事故时，不立即组织抢救或者在事故调查处理期间擅离职守或者逃匿的，；主要负责人对生产安全事故隐瞒不报、谎报或者迟报</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《安全生产法》第一百一十条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给予降级、撤职的处分，并由应急管理部门处上一年年收入百分之六十至百分之一百的罚款；对逃匿的处十五日以下拘留；构成犯罪的，依照刑法有关规定追究刑事责任。</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严重；特别严重；（符合规定的，列入严重失信主体名单处理）</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710"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56</w:t>
            </w:r>
          </w:p>
        </w:tc>
        <w:tc>
          <w:tcPr>
            <w:tcW w:w="68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未按规定对分包单位进行安全生产管理</w:t>
            </w:r>
            <w:r>
              <w:rPr>
                <w:rFonts w:hint="eastAsia" w:ascii="仿宋_GB2312" w:hAnsi="仿宋_GB2312" w:eastAsia="仿宋_GB2312" w:cs="仿宋_GB2312"/>
                <w:kern w:val="0"/>
                <w:sz w:val="21"/>
                <w:szCs w:val="21"/>
                <w:highlight w:val="none"/>
                <w:lang w:eastAsia="zh-CN"/>
              </w:rPr>
              <w:t>。</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《建设工程安全生产管理条例》第二十四条</w:t>
            </w:r>
          </w:p>
        </w:tc>
        <w:tc>
          <w:tcPr>
            <w:tcW w:w="538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承包单位和分包单位对分包工程的安全生产承担连带责任。</w:t>
            </w:r>
          </w:p>
        </w:tc>
        <w:tc>
          <w:tcPr>
            <w:tcW w:w="167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轻微；一般；严重；特别严重（符合规定的，列入严重失信主体名单处理）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794"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57</w:t>
            </w:r>
          </w:p>
        </w:tc>
        <w:tc>
          <w:tcPr>
            <w:tcW w:w="6858" w:type="dxa"/>
            <w:gridSpan w:val="2"/>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未按照国家有关规定在施工现场设置消防通道、消防水源、配备消防设施和灭火器材</w:t>
            </w:r>
            <w:r>
              <w:rPr>
                <w:rFonts w:hint="eastAsia" w:ascii="仿宋_GB2312" w:hAnsi="仿宋_GB2312" w:eastAsia="仿宋_GB2312" w:cs="仿宋_GB2312"/>
                <w:kern w:val="0"/>
                <w:sz w:val="21"/>
                <w:szCs w:val="21"/>
                <w:highlight w:val="none"/>
                <w:lang w:eastAsia="zh-CN"/>
              </w:rPr>
              <w:t>。</w:t>
            </w:r>
          </w:p>
        </w:tc>
        <w:tc>
          <w:tcPr>
            <w:tcW w:w="3119" w:type="dxa"/>
            <w:vMerge w:val="restart"/>
            <w:tcBorders>
              <w:top w:val="single" w:color="auto" w:sz="4" w:space="0"/>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《建设工程安全生产管理条例》第六十二条</w:t>
            </w:r>
          </w:p>
        </w:tc>
        <w:tc>
          <w:tcPr>
            <w:tcW w:w="5386" w:type="dxa"/>
            <w:vMerge w:val="restart"/>
            <w:tcBorders>
              <w:top w:val="single" w:color="auto" w:sz="4" w:space="0"/>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责令限期改正；逾期未改正的，责令停业整顿，依照《中华人民共和国安全生产法》的有关规定处以罚款；造成重大安全事故，构成犯罪的，对直接责任人员，依照刑法有关规定追究刑事责任。</w:t>
            </w:r>
          </w:p>
        </w:tc>
        <w:tc>
          <w:tcPr>
            <w:tcW w:w="1678"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轻微；一般；严重；特别严重（符合规定的，列入严重失信主体名单处理）</w:t>
            </w:r>
          </w:p>
        </w:tc>
        <w:tc>
          <w:tcPr>
            <w:tcW w:w="992"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077"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34"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794"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58</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未按照规定在施工起重机械和整体提升脚手架、模板等自升式架设设施验收合格后登记</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665"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59</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挪用列入建设工程概算的安全生产作业环境及安全施工措施所需费用</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《建设工程安全生产管理条例》第六十三条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责令限期改正，处挪用费用20%以上50%以下的罚款；造成损失的，依法承担赔偿责任。</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一般；严重；特别严重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r>
      <w:tr>
        <w:tblPrEx>
          <w:tblLayout w:type="fixed"/>
          <w:tblCellMar>
            <w:top w:w="0" w:type="dxa"/>
            <w:left w:w="108" w:type="dxa"/>
            <w:bottom w:w="0" w:type="dxa"/>
            <w:right w:w="108" w:type="dxa"/>
          </w:tblCellMar>
        </w:tblPrEx>
        <w:trPr>
          <w:trHeight w:val="583"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60</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施工前未对有关安全施工的技术要求作出详细说明并形成记录</w:t>
            </w:r>
            <w:r>
              <w:rPr>
                <w:rFonts w:hint="eastAsia" w:ascii="仿宋_GB2312" w:hAnsi="仿宋_GB2312" w:eastAsia="仿宋_GB2312" w:cs="仿宋_GB2312"/>
                <w:kern w:val="0"/>
                <w:sz w:val="21"/>
                <w:szCs w:val="21"/>
                <w:highlight w:val="none"/>
                <w:lang w:eastAsia="zh-CN"/>
              </w:rPr>
              <w:t>。</w:t>
            </w:r>
          </w:p>
        </w:tc>
        <w:tc>
          <w:tcPr>
            <w:tcW w:w="3119"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《建设工程安全生产管理条例》第六十四条</w:t>
            </w:r>
          </w:p>
        </w:tc>
        <w:tc>
          <w:tcPr>
            <w:tcW w:w="5386"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责令限期改正；逾期未改正的，责令停业整顿，并处5万元以上10万元以下的罚款；造成重大安全事故，构成犯罪的，对直接责任人员，依照刑法有关规定追究刑事责任。</w:t>
            </w:r>
          </w:p>
        </w:tc>
        <w:tc>
          <w:tcPr>
            <w:tcW w:w="1678" w:type="dxa"/>
            <w:vMerge w:val="restart"/>
            <w:tcBorders>
              <w:top w:val="nil"/>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轻微；一般；严重；特别严重（符合规定的，列入严重失信主体名单处理）</w:t>
            </w:r>
          </w:p>
        </w:tc>
        <w:tc>
          <w:tcPr>
            <w:tcW w:w="992"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077"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34"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923"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未根据不同施工阶段和周围环境及季节、气候的变化，在施工现场采取相应的安全施工措施；或者在城市市区内的建设工程的施工现场未实行封闭围挡、“五牌一图”、落实扬尘防治等文明施工措施</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64"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62</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在尚未竣工的建筑物内设置员工集体宿舍</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629"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63</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施工现场临时搭建的建筑物不符合安全使用要求</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609"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64</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未对因建设工程施工可能造成损害的毗邻建筑物、构筑物和地下管线等采取专项防护措施</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90"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65</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安全防护用具、机械设备、施工机具及配件在进入施工现场前未经查验或者查验不合格即投入使用</w:t>
            </w:r>
            <w:r>
              <w:rPr>
                <w:rFonts w:hint="eastAsia" w:ascii="仿宋_GB2312" w:hAnsi="仿宋_GB2312" w:eastAsia="仿宋_GB2312" w:cs="仿宋_GB2312"/>
                <w:kern w:val="0"/>
                <w:sz w:val="21"/>
                <w:szCs w:val="21"/>
                <w:highlight w:val="none"/>
                <w:lang w:eastAsia="zh-CN"/>
              </w:rPr>
              <w:t>。</w:t>
            </w:r>
          </w:p>
        </w:tc>
        <w:tc>
          <w:tcPr>
            <w:tcW w:w="3119"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《建设工程安全生产管理条例》第六十五条</w:t>
            </w:r>
          </w:p>
        </w:tc>
        <w:tc>
          <w:tcPr>
            <w:tcW w:w="5386"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tc>
        <w:tc>
          <w:tcPr>
            <w:tcW w:w="1678" w:type="dxa"/>
            <w:vMerge w:val="restart"/>
            <w:tcBorders>
              <w:top w:val="nil"/>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轻微；一般；严重；特别严重（符合规定的，列入严重失信主体名单处理）</w:t>
            </w:r>
          </w:p>
        </w:tc>
        <w:tc>
          <w:tcPr>
            <w:tcW w:w="992"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077"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34"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674"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66</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使用未经验收或者验收不合格的施工起重机械和整体提升脚手架、模板等自升式架设设施</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649"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67</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委托不具有相应资质的单位承担施工现场安装、拆卸施工起重机械和整体提升脚手架、模板等自升式架设设施</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665"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68</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在施工组织设计中未编制安全技术措施、施工现场临时用电方案或者专项施工方案</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1250"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69</w:t>
            </w:r>
          </w:p>
        </w:tc>
        <w:tc>
          <w:tcPr>
            <w:tcW w:w="68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未取得安全生产许可证擅自进行生产</w:t>
            </w:r>
            <w:r>
              <w:rPr>
                <w:rFonts w:hint="eastAsia" w:ascii="仿宋_GB2312" w:hAnsi="仿宋_GB2312" w:eastAsia="仿宋_GB2312" w:cs="仿宋_GB2312"/>
                <w:kern w:val="0"/>
                <w:sz w:val="21"/>
                <w:szCs w:val="21"/>
                <w:highlight w:val="none"/>
                <w:lang w:eastAsia="zh-CN"/>
              </w:rPr>
              <w:t>。</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xml:space="preserve">《安全生产许可证条例》第十九条 </w:t>
            </w:r>
          </w:p>
        </w:tc>
        <w:tc>
          <w:tcPr>
            <w:tcW w:w="538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责令停止生产，没收违法所得，并处10万元以上50万元以下的罚款；造成重大事故或者其他严重后果，构成犯罪的，依法追究刑事责任。</w:t>
            </w:r>
          </w:p>
        </w:tc>
        <w:tc>
          <w:tcPr>
            <w:tcW w:w="167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严重；特别严重（符合规定的，列入严重失信主体名单处理）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12～18</w:t>
            </w:r>
          </w:p>
        </w:tc>
      </w:tr>
      <w:tr>
        <w:tblPrEx>
          <w:tblLayout w:type="fixed"/>
          <w:tblCellMar>
            <w:top w:w="0" w:type="dxa"/>
            <w:left w:w="108" w:type="dxa"/>
            <w:bottom w:w="0" w:type="dxa"/>
            <w:right w:w="108" w:type="dxa"/>
          </w:tblCellMar>
        </w:tblPrEx>
        <w:trPr>
          <w:trHeight w:val="1473"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70</w:t>
            </w:r>
          </w:p>
        </w:tc>
        <w:tc>
          <w:tcPr>
            <w:tcW w:w="6858" w:type="dxa"/>
            <w:gridSpan w:val="2"/>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安全生产许可证有效期满未办理延期手续，继续进行生产</w:t>
            </w:r>
            <w:r>
              <w:rPr>
                <w:rFonts w:hint="eastAsia" w:ascii="仿宋_GB2312" w:hAnsi="仿宋_GB2312" w:eastAsia="仿宋_GB2312" w:cs="仿宋_GB2312"/>
                <w:kern w:val="0"/>
                <w:sz w:val="21"/>
                <w:szCs w:val="21"/>
                <w:highlight w:val="none"/>
                <w:lang w:eastAsia="zh-CN"/>
              </w:rPr>
              <w:t>。</w:t>
            </w:r>
          </w:p>
        </w:tc>
        <w:tc>
          <w:tcPr>
            <w:tcW w:w="3119" w:type="dxa"/>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xml:space="preserve">《安全生产许可证条例》第二十条 </w:t>
            </w:r>
          </w:p>
        </w:tc>
        <w:tc>
          <w:tcPr>
            <w:tcW w:w="5386" w:type="dxa"/>
            <w:tcBorders>
              <w:top w:val="single" w:color="auto" w:sz="4" w:space="0"/>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停止生产，限期补办延期手续，没收违法所得，并处５万元以上10万元以下的罚款；逾期仍不办理延期手续，继续进行生产的，责令停止生产，没收违法所得，处10万元以上50万元以下的罚款；造成重大事故或者其他严重后果，构成犯罪的，依法追究刑事责任。</w:t>
            </w:r>
          </w:p>
        </w:tc>
        <w:tc>
          <w:tcPr>
            <w:tcW w:w="1678"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一般；严重；特别严重（符合规定的，列入严重失信主体名单处理）</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r>
      <w:tr>
        <w:tblPrEx>
          <w:tblLayout w:type="fixed"/>
          <w:tblCellMar>
            <w:top w:w="0" w:type="dxa"/>
            <w:left w:w="108" w:type="dxa"/>
            <w:bottom w:w="0" w:type="dxa"/>
            <w:right w:w="108" w:type="dxa"/>
          </w:tblCellMar>
        </w:tblPrEx>
        <w:trPr>
          <w:trHeight w:val="696"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71</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转让安全生产许可证</w:t>
            </w:r>
            <w:r>
              <w:rPr>
                <w:rFonts w:hint="eastAsia" w:ascii="仿宋_GB2312" w:hAnsi="仿宋_GB2312" w:eastAsia="仿宋_GB2312" w:cs="仿宋_GB2312"/>
                <w:kern w:val="0"/>
                <w:sz w:val="21"/>
                <w:szCs w:val="21"/>
                <w:highlight w:val="none"/>
                <w:lang w:eastAsia="zh-CN"/>
              </w:rPr>
              <w:t>。</w:t>
            </w:r>
          </w:p>
        </w:tc>
        <w:tc>
          <w:tcPr>
            <w:tcW w:w="3119"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xml:space="preserve">《安全生产许可证条例》第二十一条 </w:t>
            </w:r>
          </w:p>
        </w:tc>
        <w:tc>
          <w:tcPr>
            <w:tcW w:w="5386" w:type="dxa"/>
            <w:vMerge w:val="restart"/>
            <w:tcBorders>
              <w:top w:val="nil"/>
              <w:left w:val="nil"/>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没收违法所得，处10万元以上50万元以下的罚款，并吊销其安全生产许可证；构成犯罪的，依法追究刑事责任；接受转让的，责令停止生产，没收违法所得，并处10万元以上50万元以下的罚款；造成重大事故或者其他严重后果，构成犯罪的，依法追究刑事责任。</w:t>
            </w:r>
          </w:p>
        </w:tc>
        <w:tc>
          <w:tcPr>
            <w:tcW w:w="1678" w:type="dxa"/>
            <w:vMerge w:val="restart"/>
            <w:tcBorders>
              <w:top w:val="nil"/>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一般；严重；特别严重（符合规定的，列入严重失信主体名单处理）</w:t>
            </w:r>
          </w:p>
        </w:tc>
        <w:tc>
          <w:tcPr>
            <w:tcW w:w="992" w:type="dxa"/>
            <w:vMerge w:val="restart"/>
            <w:tcBorders>
              <w:top w:val="single" w:color="auto" w:sz="4" w:space="0"/>
              <w:left w:val="nil"/>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4～10</w:t>
            </w:r>
          </w:p>
        </w:tc>
        <w:tc>
          <w:tcPr>
            <w:tcW w:w="1077"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c>
          <w:tcPr>
            <w:tcW w:w="1134"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9～18</w:t>
            </w:r>
          </w:p>
        </w:tc>
      </w:tr>
      <w:tr>
        <w:tblPrEx>
          <w:tblLayout w:type="fixed"/>
          <w:tblCellMar>
            <w:top w:w="0" w:type="dxa"/>
            <w:left w:w="108" w:type="dxa"/>
            <w:bottom w:w="0" w:type="dxa"/>
            <w:right w:w="108" w:type="dxa"/>
          </w:tblCellMar>
        </w:tblPrEx>
        <w:trPr>
          <w:trHeight w:val="702"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72</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冒用安全生产许可证或者使用伪造的安全生产许可证</w:t>
            </w:r>
            <w:r>
              <w:rPr>
                <w:rFonts w:hint="eastAsia" w:ascii="仿宋_GB2312" w:hAnsi="仿宋_GB2312" w:eastAsia="仿宋_GB2312" w:cs="仿宋_GB2312"/>
                <w:kern w:val="0"/>
                <w:sz w:val="21"/>
                <w:szCs w:val="21"/>
                <w:highlight w:val="none"/>
                <w:lang w:eastAsia="zh-CN"/>
              </w:rPr>
              <w:t>。</w:t>
            </w:r>
          </w:p>
        </w:tc>
        <w:tc>
          <w:tcPr>
            <w:tcW w:w="3119"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5386" w:type="dxa"/>
            <w:vMerge w:val="continue"/>
            <w:tcBorders>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1678"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992" w:type="dxa"/>
            <w:vMerge w:val="continue"/>
            <w:tcBorders>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077"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c>
          <w:tcPr>
            <w:tcW w:w="1134"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2040" w:hRule="atLeast"/>
          <w:jc w:val="center"/>
        </w:trPr>
        <w:tc>
          <w:tcPr>
            <w:tcW w:w="833" w:type="dxa"/>
            <w:vMerge w:val="continue"/>
            <w:tcBorders>
              <w:top w:val="nil"/>
              <w:left w:val="single" w:color="auto" w:sz="4" w:space="0"/>
              <w:bottom w:val="single" w:color="000000"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73</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项目经理的任命（含变更）不符合合同约定；或者项目经理未按合同约定到岗履职（含参加工程验收）；或者安排任职项目数量已达到规定限额的项目经理在其他项目任职</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《招标投标法》第六十条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《注册建造师管理规定》（建设部令第153号）</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承包人与项目法人签订的施工承包合同</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情节严重的，取消其二年至五年内参加依法必须进行招标的项目的投标资格并予以公告，直至由工商行政管理机关吊销营业执照。</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轻微（不予行政处理的不予公告）；一般；严重；特别严重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0～18</w:t>
            </w:r>
          </w:p>
        </w:tc>
      </w:tr>
      <w:tr>
        <w:tblPrEx>
          <w:tblLayout w:type="fixed"/>
          <w:tblCellMar>
            <w:top w:w="0" w:type="dxa"/>
            <w:left w:w="108" w:type="dxa"/>
            <w:bottom w:w="0" w:type="dxa"/>
            <w:right w:w="108" w:type="dxa"/>
          </w:tblCellMar>
        </w:tblPrEx>
        <w:trPr>
          <w:trHeight w:val="961" w:hRule="atLeast"/>
          <w:jc w:val="center"/>
        </w:trPr>
        <w:tc>
          <w:tcPr>
            <w:tcW w:w="833" w:type="dxa"/>
            <w:vMerge w:val="restart"/>
            <w:tcBorders>
              <w:top w:val="nil"/>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其他</w:t>
            </w: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74</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在生产建设过程中造成水土流失危害及存在水土流失隐患不进行治理</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《水土保持法》第三十二条、五十六条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责令限期治理；逾期仍不治理的，县级以上人民政府水行政主管部门可以指定有治理能力的单位代为治理，所需费用由违法行为人承担。</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轻微（不予行政处理的不予公告）；一般；严重；特别严重（符合规定的，列入严重失信主体名单处理）</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0～18</w:t>
            </w:r>
          </w:p>
        </w:tc>
      </w:tr>
      <w:tr>
        <w:tblPrEx>
          <w:tblLayout w:type="fixed"/>
          <w:tblCellMar>
            <w:top w:w="0" w:type="dxa"/>
            <w:left w:w="108" w:type="dxa"/>
            <w:bottom w:w="0" w:type="dxa"/>
            <w:right w:w="108" w:type="dxa"/>
          </w:tblCellMar>
        </w:tblPrEx>
        <w:trPr>
          <w:trHeight w:val="2104"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75</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未实行劳动用工实名制管理；</w:t>
            </w:r>
            <w:r>
              <w:rPr>
                <w:rFonts w:hint="eastAsia" w:ascii="仿宋_GB2312" w:hAnsi="仿宋_GB2312" w:eastAsia="仿宋_GB2312" w:cs="仿宋_GB2312"/>
                <w:sz w:val="21"/>
                <w:szCs w:val="21"/>
                <w:highlight w:val="none"/>
                <w:shd w:val="clear" w:color="auto" w:fill="FFFFFF"/>
              </w:rPr>
              <w:t>未按规定开设或者使用农民工工资专用账户；</w:t>
            </w:r>
            <w:r>
              <w:rPr>
                <w:rFonts w:hint="eastAsia" w:ascii="仿宋_GB2312" w:hAnsi="仿宋_GB2312" w:eastAsia="仿宋_GB2312" w:cs="仿宋_GB2312"/>
                <w:kern w:val="0"/>
                <w:sz w:val="21"/>
                <w:szCs w:val="21"/>
                <w:highlight w:val="none"/>
              </w:rPr>
              <w:t>未按规定存储工资保证金或者未提供金融机构保函；拖欠农民工工资</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sz w:val="21"/>
                <w:szCs w:val="21"/>
                <w:highlight w:val="none"/>
                <w:shd w:val="clear" w:color="auto" w:fill="FFFFFF"/>
              </w:rPr>
              <w:t>保障农民工工资支付条例</w:t>
            </w:r>
            <w:r>
              <w:rPr>
                <w:rFonts w:hint="eastAsia" w:ascii="仿宋_GB2312" w:hAnsi="仿宋_GB2312" w:eastAsia="仿宋_GB2312" w:cs="仿宋_GB2312"/>
                <w:kern w:val="0"/>
                <w:sz w:val="21"/>
                <w:szCs w:val="21"/>
                <w:highlight w:val="none"/>
              </w:rPr>
              <w:t>》第五十五条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责令限期改正；逾期不改正的，责令项目停工，并处5万元以上10万元以下的罚款；情节严重的，给予施工单位限制承接新工程、降低资质等级、吊销资质证书等处罚。</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轻微（不予行政处理的不予公告）；一般；严重；特别严重（符合规定的，列入严重失信主体名单处理）</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0～18</w:t>
            </w:r>
          </w:p>
        </w:tc>
      </w:tr>
      <w:tr>
        <w:tblPrEx>
          <w:tblLayout w:type="fixed"/>
          <w:tblCellMar>
            <w:top w:w="0" w:type="dxa"/>
            <w:left w:w="108" w:type="dxa"/>
            <w:bottom w:w="0" w:type="dxa"/>
            <w:right w:w="108" w:type="dxa"/>
          </w:tblCellMar>
        </w:tblPrEx>
        <w:trPr>
          <w:trHeight w:val="1129"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76</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分包单位未按月考核农民工工作量、编制工资支付表并经农民工本人签字确认；施工总承包单位未对分包单位劳动用工实施监督管理；分包单位未配合施工总承包单位对其劳动用工进行监督管理；施工总承包单位未实行施工现场维权信息公示制度</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sz w:val="21"/>
                <w:szCs w:val="21"/>
                <w:highlight w:val="none"/>
                <w:shd w:val="clear" w:color="auto" w:fill="FFFFFF"/>
              </w:rPr>
              <w:t>保障农民工工资支付条例</w:t>
            </w:r>
            <w:r>
              <w:rPr>
                <w:rFonts w:hint="eastAsia" w:ascii="仿宋_GB2312" w:hAnsi="仿宋_GB2312" w:eastAsia="仿宋_GB2312" w:cs="仿宋_GB2312"/>
                <w:kern w:val="0"/>
                <w:sz w:val="21"/>
                <w:szCs w:val="21"/>
                <w:highlight w:val="none"/>
              </w:rPr>
              <w:t>》第五十六条</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责令限期改正；逾期不改正的，责令项目停工，并处5万元以上10万元以下的罚款。</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轻微（不予行政处理的不予公告）；一般</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2～4</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6～9</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6～9</w:t>
            </w:r>
          </w:p>
        </w:tc>
      </w:tr>
      <w:tr>
        <w:tblPrEx>
          <w:tblLayout w:type="fixed"/>
          <w:tblCellMar>
            <w:top w:w="0" w:type="dxa"/>
            <w:left w:w="108" w:type="dxa"/>
            <w:bottom w:w="0" w:type="dxa"/>
            <w:right w:w="108" w:type="dxa"/>
          </w:tblCellMar>
        </w:tblPrEx>
        <w:trPr>
          <w:trHeight w:val="964" w:hRule="atLeast"/>
          <w:jc w:val="center"/>
        </w:trPr>
        <w:tc>
          <w:tcPr>
            <w:tcW w:w="833" w:type="dxa"/>
            <w:vMerge w:val="continue"/>
            <w:tcBorders>
              <w:top w:val="nil"/>
              <w:left w:val="single" w:color="auto" w:sz="4" w:space="0"/>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p>
        </w:tc>
        <w:tc>
          <w:tcPr>
            <w:tcW w:w="706"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77</w:t>
            </w:r>
          </w:p>
        </w:tc>
        <w:tc>
          <w:tcPr>
            <w:tcW w:w="6858" w:type="dxa"/>
            <w:gridSpan w:val="2"/>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在相关信用信息平台中录入的信息或向有关行政部门、专业部门提供的信息存在故意隐瞒真实情况、弄虚作假情况</w:t>
            </w:r>
            <w:r>
              <w:rPr>
                <w:rFonts w:hint="eastAsia" w:ascii="仿宋_GB2312" w:hAnsi="仿宋_GB2312" w:eastAsia="仿宋_GB2312" w:cs="仿宋_GB2312"/>
                <w:kern w:val="0"/>
                <w:sz w:val="21"/>
                <w:szCs w:val="21"/>
                <w:highlight w:val="none"/>
                <w:lang w:eastAsia="zh-CN"/>
              </w:rPr>
              <w:t>。</w:t>
            </w:r>
          </w:p>
        </w:tc>
        <w:tc>
          <w:tcPr>
            <w:tcW w:w="3119"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xml:space="preserve">《水利部关于促进市场公平竞争维护水利建设市场正常秩序的实施意见》第（十三）条 </w:t>
            </w:r>
          </w:p>
        </w:tc>
        <w:tc>
          <w:tcPr>
            <w:tcW w:w="5386" w:type="dxa"/>
            <w:tcBorders>
              <w:top w:val="nil"/>
              <w:left w:val="nil"/>
              <w:bottom w:val="single" w:color="auto" w:sz="4" w:space="0"/>
              <w:right w:val="single" w:color="auto" w:sz="4" w:space="0"/>
            </w:tcBorders>
            <w:vAlign w:val="center"/>
          </w:tcPr>
          <w:p>
            <w:pPr>
              <w:snapToGrid w:val="0"/>
              <w:spacing w:line="240" w:lineRule="auto"/>
              <w:jc w:val="left"/>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对在公告信息中隐瞒真实情况、弄虚作假的，作为严重失信行为列入黑名单。对未建立信用档案的市场主体，各级水行政主管部门可依据有关规定采取相应处理措施。</w:t>
            </w:r>
          </w:p>
        </w:tc>
        <w:tc>
          <w:tcPr>
            <w:tcW w:w="1678" w:type="dxa"/>
            <w:tcBorders>
              <w:top w:val="nil"/>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特别严重</w:t>
            </w:r>
          </w:p>
        </w:tc>
        <w:tc>
          <w:tcPr>
            <w:tcW w:w="992" w:type="dxa"/>
            <w:tcBorders>
              <w:top w:val="single" w:color="auto" w:sz="4" w:space="0"/>
              <w:left w:val="nil"/>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107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18</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附表3-6  </w:t>
      </w:r>
      <w:r>
        <w:rPr>
          <w:rFonts w:hint="eastAsia" w:ascii="仿宋_GB2312" w:hAnsi="仿宋_GB2312" w:eastAsia="仿宋_GB2312" w:cs="仿宋_GB2312"/>
          <w:kern w:val="0"/>
          <w:sz w:val="32"/>
          <w:szCs w:val="32"/>
          <w:highlight w:val="none"/>
        </w:rPr>
        <w:t>质量检测单位不良行为认定标准</w:t>
      </w:r>
    </w:p>
    <w:tbl>
      <w:tblPr>
        <w:tblStyle w:val="6"/>
        <w:tblW w:w="21611" w:type="dxa"/>
        <w:jc w:val="center"/>
        <w:tblInd w:w="0" w:type="dxa"/>
        <w:tblLayout w:type="fixed"/>
        <w:tblCellMar>
          <w:top w:w="0" w:type="dxa"/>
          <w:left w:w="108" w:type="dxa"/>
          <w:bottom w:w="0" w:type="dxa"/>
          <w:right w:w="108" w:type="dxa"/>
        </w:tblCellMar>
      </w:tblPr>
      <w:tblGrid>
        <w:gridCol w:w="715"/>
        <w:gridCol w:w="668"/>
        <w:gridCol w:w="2059"/>
        <w:gridCol w:w="4278"/>
        <w:gridCol w:w="2640"/>
        <w:gridCol w:w="6075"/>
        <w:gridCol w:w="1799"/>
        <w:gridCol w:w="1134"/>
        <w:gridCol w:w="1134"/>
        <w:gridCol w:w="1109"/>
      </w:tblGrid>
      <w:tr>
        <w:tblPrEx>
          <w:tblLayout w:type="fixed"/>
          <w:tblCellMar>
            <w:top w:w="0" w:type="dxa"/>
            <w:left w:w="108" w:type="dxa"/>
            <w:bottom w:w="0" w:type="dxa"/>
            <w:right w:w="108" w:type="dxa"/>
          </w:tblCellMar>
        </w:tblPrEx>
        <w:trPr>
          <w:trHeight w:val="900" w:hRule="atLeast"/>
          <w:tblHeader/>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行为</w:t>
            </w:r>
          </w:p>
          <w:p>
            <w:pPr>
              <w:snapToGrid w:val="0"/>
              <w:spacing w:line="240" w:lineRule="auto"/>
              <w:jc w:val="center"/>
              <w:textAlignment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kern w:val="0"/>
                <w:sz w:val="21"/>
                <w:szCs w:val="21"/>
                <w:highlight w:val="none"/>
              </w:rPr>
              <w:t>类别</w:t>
            </w: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kern w:val="0"/>
                <w:sz w:val="21"/>
                <w:szCs w:val="21"/>
                <w:highlight w:val="none"/>
              </w:rPr>
              <w:t>序号</w:t>
            </w:r>
          </w:p>
        </w:tc>
        <w:tc>
          <w:tcPr>
            <w:tcW w:w="63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kern w:val="0"/>
                <w:sz w:val="21"/>
                <w:szCs w:val="21"/>
                <w:highlight w:val="none"/>
              </w:rPr>
              <w:t>不良信用行为</w:t>
            </w:r>
          </w:p>
        </w:tc>
        <w:tc>
          <w:tcPr>
            <w:tcW w:w="264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kern w:val="0"/>
                <w:sz w:val="21"/>
                <w:szCs w:val="21"/>
                <w:highlight w:val="none"/>
              </w:rPr>
              <w:t>法律法规和规章依据</w:t>
            </w:r>
          </w:p>
        </w:tc>
        <w:tc>
          <w:tcPr>
            <w:tcW w:w="607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kern w:val="0"/>
                <w:sz w:val="21"/>
                <w:szCs w:val="21"/>
                <w:highlight w:val="none"/>
              </w:rPr>
              <w:t>行政处理</w:t>
            </w:r>
          </w:p>
        </w:tc>
        <w:tc>
          <w:tcPr>
            <w:tcW w:w="179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bCs/>
                <w:kern w:val="0"/>
                <w:sz w:val="21"/>
                <w:szCs w:val="21"/>
                <w:highlight w:val="none"/>
              </w:rPr>
              <w:t>不良行为</w:t>
            </w:r>
            <w:r>
              <w:rPr>
                <w:rFonts w:hint="eastAsia" w:ascii="仿宋_GB2312" w:hAnsi="仿宋_GB2312" w:eastAsia="仿宋_GB2312" w:cs="仿宋_GB2312"/>
                <w:b/>
                <w:kern w:val="0"/>
                <w:sz w:val="21"/>
                <w:szCs w:val="21"/>
                <w:highlight w:val="none"/>
              </w:rPr>
              <w:t>等级</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信用</w:t>
            </w:r>
          </w:p>
          <w:p>
            <w:pPr>
              <w:snapToGrid w:val="0"/>
              <w:spacing w:line="240" w:lineRule="auto"/>
              <w:jc w:val="center"/>
              <w:textAlignment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扣分值</w:t>
            </w:r>
          </w:p>
          <w:p>
            <w:pPr>
              <w:snapToGrid w:val="0"/>
              <w:spacing w:line="240" w:lineRule="auto"/>
              <w:jc w:val="center"/>
              <w:textAlignment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kern w:val="0"/>
                <w:sz w:val="21"/>
                <w:szCs w:val="21"/>
                <w:highlight w:val="none"/>
              </w:rPr>
              <w:t>（分）</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信用扣分</w:t>
            </w:r>
          </w:p>
          <w:p>
            <w:pPr>
              <w:snapToGrid w:val="0"/>
              <w:spacing w:line="240" w:lineRule="auto"/>
              <w:jc w:val="center"/>
              <w:textAlignment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kern w:val="0"/>
                <w:sz w:val="21"/>
                <w:szCs w:val="21"/>
                <w:highlight w:val="none"/>
              </w:rPr>
              <w:t>有效期</w:t>
            </w:r>
            <w:r>
              <w:rPr>
                <w:rFonts w:hint="eastAsia" w:ascii="仿宋_GB2312" w:hAnsi="仿宋_GB2312" w:eastAsia="仿宋_GB2312" w:cs="仿宋_GB2312"/>
                <w:b/>
                <w:kern w:val="0"/>
                <w:sz w:val="21"/>
                <w:szCs w:val="21"/>
                <w:highlight w:val="none"/>
              </w:rPr>
              <w:br w:type="textWrapping"/>
            </w:r>
            <w:r>
              <w:rPr>
                <w:rFonts w:hint="eastAsia" w:ascii="仿宋_GB2312" w:hAnsi="仿宋_GB2312" w:eastAsia="仿宋_GB2312" w:cs="仿宋_GB2312"/>
                <w:b/>
                <w:kern w:val="0"/>
                <w:sz w:val="21"/>
                <w:szCs w:val="21"/>
                <w:highlight w:val="none"/>
              </w:rPr>
              <w:t>（月）</w:t>
            </w:r>
          </w:p>
        </w:tc>
        <w:tc>
          <w:tcPr>
            <w:tcW w:w="110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信用信息</w:t>
            </w:r>
          </w:p>
          <w:p>
            <w:pPr>
              <w:snapToGrid w:val="0"/>
              <w:spacing w:line="240" w:lineRule="auto"/>
              <w:jc w:val="center"/>
              <w:textAlignment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kern w:val="0"/>
                <w:sz w:val="21"/>
                <w:szCs w:val="21"/>
                <w:highlight w:val="none"/>
              </w:rPr>
              <w:t>公告期</w:t>
            </w:r>
            <w:r>
              <w:rPr>
                <w:rFonts w:hint="eastAsia" w:ascii="仿宋_GB2312" w:hAnsi="仿宋_GB2312" w:eastAsia="仿宋_GB2312" w:cs="仿宋_GB2312"/>
                <w:b/>
                <w:kern w:val="0"/>
                <w:sz w:val="21"/>
                <w:szCs w:val="21"/>
                <w:highlight w:val="none"/>
              </w:rPr>
              <w:br w:type="textWrapping"/>
            </w:r>
            <w:r>
              <w:rPr>
                <w:rFonts w:hint="eastAsia" w:ascii="仿宋_GB2312" w:hAnsi="仿宋_GB2312" w:eastAsia="仿宋_GB2312" w:cs="仿宋_GB2312"/>
                <w:b/>
                <w:kern w:val="0"/>
                <w:sz w:val="21"/>
                <w:szCs w:val="21"/>
                <w:highlight w:val="none"/>
              </w:rPr>
              <w:t>（月）</w:t>
            </w:r>
          </w:p>
        </w:tc>
      </w:tr>
      <w:tr>
        <w:tblPrEx>
          <w:tblLayout w:type="fixed"/>
          <w:tblCellMar>
            <w:top w:w="0" w:type="dxa"/>
            <w:left w:w="108" w:type="dxa"/>
            <w:bottom w:w="0" w:type="dxa"/>
            <w:right w:w="108" w:type="dxa"/>
          </w:tblCellMar>
        </w:tblPrEx>
        <w:trPr>
          <w:trHeight w:val="654"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资质</w:t>
            </w:r>
          </w:p>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管理</w:t>
            </w: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w:t>
            </w:r>
          </w:p>
        </w:tc>
        <w:tc>
          <w:tcPr>
            <w:tcW w:w="63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未取得相应的资质，擅自承担检测业务</w:t>
            </w:r>
            <w:r>
              <w:rPr>
                <w:rFonts w:hint="eastAsia" w:ascii="仿宋_GB2312" w:hAnsi="仿宋_GB2312" w:eastAsia="仿宋_GB2312" w:cs="仿宋_GB2312"/>
                <w:kern w:val="0"/>
                <w:sz w:val="21"/>
                <w:szCs w:val="21"/>
                <w:highlight w:val="none"/>
                <w:lang w:eastAsia="zh-CN"/>
              </w:rPr>
              <w:t>。</w:t>
            </w:r>
          </w:p>
        </w:tc>
        <w:tc>
          <w:tcPr>
            <w:tcW w:w="264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《水利工程质量检测管理规定》第二十四条</w:t>
            </w:r>
          </w:p>
        </w:tc>
        <w:tc>
          <w:tcPr>
            <w:tcW w:w="607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其检测报告无效，由县级以上人民政府水行政主管部门责令改正，可并处1万元以上3万元以下的罚款。</w:t>
            </w:r>
          </w:p>
        </w:tc>
        <w:tc>
          <w:tcPr>
            <w:tcW w:w="179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w:t>
            </w:r>
          </w:p>
        </w:tc>
        <w:tc>
          <w:tcPr>
            <w:tcW w:w="110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w:t>
            </w:r>
          </w:p>
        </w:tc>
      </w:tr>
      <w:tr>
        <w:tblPrEx>
          <w:tblLayout w:type="fixed"/>
          <w:tblCellMar>
            <w:top w:w="0" w:type="dxa"/>
            <w:left w:w="108" w:type="dxa"/>
            <w:bottom w:w="0" w:type="dxa"/>
            <w:right w:w="108" w:type="dxa"/>
          </w:tblCellMar>
        </w:tblPrEx>
        <w:trPr>
          <w:trHeight w:val="936"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w:t>
            </w:r>
          </w:p>
        </w:tc>
        <w:tc>
          <w:tcPr>
            <w:tcW w:w="63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超出资质等级范围从事检测活动</w:t>
            </w:r>
            <w:r>
              <w:rPr>
                <w:rFonts w:hint="eastAsia" w:ascii="仿宋_GB2312" w:hAnsi="仿宋_GB2312" w:eastAsia="仿宋_GB2312" w:cs="仿宋_GB2312"/>
                <w:kern w:val="0"/>
                <w:sz w:val="21"/>
                <w:szCs w:val="21"/>
                <w:highlight w:val="none"/>
                <w:lang w:eastAsia="zh-CN"/>
              </w:rPr>
              <w:t>。</w:t>
            </w:r>
          </w:p>
        </w:tc>
        <w:tc>
          <w:tcPr>
            <w:tcW w:w="264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《水利工程质量检测管理规定》第二十七条</w:t>
            </w:r>
          </w:p>
        </w:tc>
        <w:tc>
          <w:tcPr>
            <w:tcW w:w="607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责令改正，有违法所得的，没收违法所得，可并处1</w:t>
            </w:r>
            <w:r>
              <w:rPr>
                <w:rStyle w:val="10"/>
                <w:rFonts w:hint="eastAsia" w:ascii="仿宋_GB2312" w:hAnsi="仿宋_GB2312" w:eastAsia="仿宋_GB2312" w:cs="仿宋_GB2312"/>
                <w:color w:val="auto"/>
                <w:sz w:val="21"/>
                <w:szCs w:val="21"/>
                <w:highlight w:val="none"/>
              </w:rPr>
              <w:t>万元以上</w:t>
            </w:r>
            <w:r>
              <w:rPr>
                <w:rFonts w:hint="eastAsia" w:ascii="仿宋_GB2312" w:hAnsi="仿宋_GB2312" w:eastAsia="仿宋_GB2312" w:cs="仿宋_GB2312"/>
                <w:kern w:val="0"/>
                <w:sz w:val="21"/>
                <w:szCs w:val="21"/>
                <w:highlight w:val="none"/>
              </w:rPr>
              <w:t>3</w:t>
            </w:r>
            <w:r>
              <w:rPr>
                <w:rStyle w:val="10"/>
                <w:rFonts w:hint="eastAsia" w:ascii="仿宋_GB2312" w:hAnsi="仿宋_GB2312" w:eastAsia="仿宋_GB2312" w:cs="仿宋_GB2312"/>
                <w:color w:val="auto"/>
                <w:sz w:val="21"/>
                <w:szCs w:val="21"/>
                <w:highlight w:val="none"/>
              </w:rPr>
              <w:t>万元以下的罚款；构成犯罪的，依法追究刑事责任。</w:t>
            </w:r>
          </w:p>
        </w:tc>
        <w:tc>
          <w:tcPr>
            <w:tcW w:w="179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18</w:t>
            </w:r>
          </w:p>
        </w:tc>
        <w:tc>
          <w:tcPr>
            <w:tcW w:w="110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18</w:t>
            </w:r>
          </w:p>
        </w:tc>
      </w:tr>
      <w:tr>
        <w:tblPrEx>
          <w:tblLayout w:type="fixed"/>
          <w:tblCellMar>
            <w:top w:w="0" w:type="dxa"/>
            <w:left w:w="108" w:type="dxa"/>
            <w:bottom w:w="0" w:type="dxa"/>
            <w:right w:w="108" w:type="dxa"/>
          </w:tblCellMar>
        </w:tblPrEx>
        <w:trPr>
          <w:trHeight w:val="977"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3</w:t>
            </w:r>
          </w:p>
        </w:tc>
        <w:tc>
          <w:tcPr>
            <w:tcW w:w="63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涂改、倒卖、出租、出借或者以其他形式非法转让《资质等级证书》</w:t>
            </w:r>
            <w:r>
              <w:rPr>
                <w:rFonts w:hint="eastAsia" w:ascii="仿宋_GB2312" w:hAnsi="仿宋_GB2312" w:eastAsia="仿宋_GB2312" w:cs="仿宋_GB2312"/>
                <w:kern w:val="0"/>
                <w:sz w:val="21"/>
                <w:szCs w:val="21"/>
                <w:highlight w:val="none"/>
                <w:lang w:eastAsia="zh-CN"/>
              </w:rPr>
              <w:t>。</w:t>
            </w:r>
          </w:p>
        </w:tc>
        <w:tc>
          <w:tcPr>
            <w:tcW w:w="264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《水利工程质量检测管理规定》第二十七条</w:t>
            </w:r>
          </w:p>
        </w:tc>
        <w:tc>
          <w:tcPr>
            <w:tcW w:w="607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责令改正，有违法所得的，没收违法所得，可并处1万元以上3万元以下的罚款；构成犯罪的，依法追究刑事责任。</w:t>
            </w:r>
          </w:p>
        </w:tc>
        <w:tc>
          <w:tcPr>
            <w:tcW w:w="179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18</w:t>
            </w:r>
          </w:p>
        </w:tc>
        <w:tc>
          <w:tcPr>
            <w:tcW w:w="110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18</w:t>
            </w:r>
          </w:p>
        </w:tc>
      </w:tr>
      <w:tr>
        <w:tblPrEx>
          <w:tblLayout w:type="fixed"/>
          <w:tblCellMar>
            <w:top w:w="0" w:type="dxa"/>
            <w:left w:w="108" w:type="dxa"/>
            <w:bottom w:w="0" w:type="dxa"/>
            <w:right w:w="108" w:type="dxa"/>
          </w:tblCellMar>
        </w:tblPrEx>
        <w:trPr>
          <w:trHeight w:val="664"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4</w:t>
            </w:r>
          </w:p>
        </w:tc>
        <w:tc>
          <w:tcPr>
            <w:tcW w:w="63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使用不符合条件的检测人员</w:t>
            </w:r>
            <w:r>
              <w:rPr>
                <w:rFonts w:hint="eastAsia" w:ascii="仿宋_GB2312" w:hAnsi="仿宋_GB2312" w:eastAsia="仿宋_GB2312" w:cs="仿宋_GB2312"/>
                <w:kern w:val="0"/>
                <w:sz w:val="21"/>
                <w:szCs w:val="21"/>
                <w:highlight w:val="none"/>
                <w:lang w:eastAsia="zh-CN"/>
              </w:rPr>
              <w:t>。</w:t>
            </w:r>
          </w:p>
        </w:tc>
        <w:tc>
          <w:tcPr>
            <w:tcW w:w="264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《水利工程质量检测管理规定》第二十七条</w:t>
            </w:r>
          </w:p>
        </w:tc>
        <w:tc>
          <w:tcPr>
            <w:tcW w:w="607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责令改正，有违法所得的，没收违法所得，可并处1万元以上3万元以下的罚款；构成犯罪的，依法追究刑事责任</w:t>
            </w:r>
          </w:p>
        </w:tc>
        <w:tc>
          <w:tcPr>
            <w:tcW w:w="179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6～18</w:t>
            </w:r>
          </w:p>
        </w:tc>
        <w:tc>
          <w:tcPr>
            <w:tcW w:w="110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4714"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w:t>
            </w:r>
          </w:p>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投标</w:t>
            </w: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w:t>
            </w:r>
          </w:p>
        </w:tc>
        <w:tc>
          <w:tcPr>
            <w:tcW w:w="63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相互串通投标（包括但不限于：1.投标人之间协商投标报价等投标文件的实质性内容；2.投标人之间约定中标人；3.投标人之间约定部分投标人放弃投标或者中标；4.属于同一集团、协会、商会等组织成员的投标人按照该组织要求协同投标；5.投标人之间为谋取中标或者排斥特定投标人而采取的其他联合行动；6.不同投标人的投标文件由同一单位或者个人编制；7.不同投标人委托同一单位或者个人办理投标事宜；8.不同投标人的投标文件载明的项目管理成员为同一人；9.不同投标人的投标文件异常一致或者投标报价呈规律性差异；10.不同投标人的投标文件相互混装；11.不同投标人的投标保证金从同一单位或者个人的账户转出；不同投标人编制的投标文件的实质性内容存在两处以上细节错误一致；12.不同投标人的投标文件由同一电子设备编制、打包加密或者上传，不同投标人的投标文件由同一投标人的电子设备打印、复印；13.不同投标人的投标文件由同一投标人送达或者分发；14.参加投标活动的人员为同一标段其他投标人的在职人员；15.不同投标人的投标保证金从投标人各自的基本账户转出，但是，所需资金来自同一单位或者个人账户。）；</w:t>
            </w:r>
          </w:p>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以向招标人或者评标委员会成员行贿等不正当手段谋取中标</w:t>
            </w:r>
            <w:r>
              <w:rPr>
                <w:rFonts w:hint="eastAsia" w:ascii="仿宋_GB2312" w:hAnsi="仿宋_GB2312" w:eastAsia="仿宋_GB2312" w:cs="仿宋_GB2312"/>
                <w:kern w:val="0"/>
                <w:sz w:val="21"/>
                <w:szCs w:val="21"/>
                <w:highlight w:val="none"/>
                <w:lang w:eastAsia="zh-CN"/>
              </w:rPr>
              <w:t>。</w:t>
            </w:r>
          </w:p>
        </w:tc>
        <w:tc>
          <w:tcPr>
            <w:tcW w:w="264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《招标投标法》第五十三条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《招标投标法实施条例》第三十九条、第四十条、第六十七条</w:t>
            </w:r>
          </w:p>
        </w:tc>
        <w:tc>
          <w:tcPr>
            <w:tcW w:w="607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 xml:space="preserve">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 </w:t>
            </w:r>
          </w:p>
        </w:tc>
        <w:tc>
          <w:tcPr>
            <w:tcW w:w="179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18</w:t>
            </w:r>
          </w:p>
        </w:tc>
        <w:tc>
          <w:tcPr>
            <w:tcW w:w="110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18</w:t>
            </w:r>
          </w:p>
        </w:tc>
      </w:tr>
      <w:tr>
        <w:tblPrEx>
          <w:tblLayout w:type="fixed"/>
          <w:tblCellMar>
            <w:top w:w="0" w:type="dxa"/>
            <w:left w:w="108" w:type="dxa"/>
            <w:bottom w:w="0" w:type="dxa"/>
            <w:right w:w="108" w:type="dxa"/>
          </w:tblCellMar>
        </w:tblPrEx>
        <w:trPr>
          <w:trHeight w:val="2528"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w:t>
            </w:r>
          </w:p>
        </w:tc>
        <w:tc>
          <w:tcPr>
            <w:tcW w:w="63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以他人名义投标或者以其他方式弄虚作假，骗取中标（包括但不限于：1.使用伪造、变造的许可证件；2.提供虚假的财务状况或者业绩；3.提供虚假的项目负责人或者主要技术人员简历、劳动关系证明；4.提供虚假的信用状况；5.使用通过受让或者租借等方式获取的资格、资质证书投标；6.其他弄虚作假的行为）</w:t>
            </w:r>
            <w:r>
              <w:rPr>
                <w:rFonts w:hint="eastAsia" w:ascii="仿宋_GB2312" w:hAnsi="仿宋_GB2312" w:eastAsia="仿宋_GB2312" w:cs="仿宋_GB2312"/>
                <w:kern w:val="0"/>
                <w:sz w:val="21"/>
                <w:szCs w:val="21"/>
                <w:highlight w:val="none"/>
                <w:lang w:eastAsia="zh-CN"/>
              </w:rPr>
              <w:t>。</w:t>
            </w:r>
          </w:p>
        </w:tc>
        <w:tc>
          <w:tcPr>
            <w:tcW w:w="264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《招标投标法》第五十四条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《招标投标法实施条例》第四十二条</w:t>
            </w:r>
          </w:p>
        </w:tc>
        <w:tc>
          <w:tcPr>
            <w:tcW w:w="607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中标无效，给招标人造成损失的，依法承担赔偿责任；构成犯罪的，依法追究刑事责任。</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 xml:space="preserve">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 </w:t>
            </w:r>
          </w:p>
        </w:tc>
        <w:tc>
          <w:tcPr>
            <w:tcW w:w="179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18</w:t>
            </w:r>
          </w:p>
        </w:tc>
        <w:tc>
          <w:tcPr>
            <w:tcW w:w="110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1052"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7</w:t>
            </w:r>
          </w:p>
        </w:tc>
        <w:tc>
          <w:tcPr>
            <w:tcW w:w="63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将中标项目转让给他人；将中标项目肢解后分别转让给他人；违反有关规定将中标项目的部分主体、关键性工作分包给他人；或者分包人再次分包</w:t>
            </w:r>
            <w:r>
              <w:rPr>
                <w:rFonts w:hint="eastAsia" w:ascii="仿宋_GB2312" w:hAnsi="仿宋_GB2312" w:eastAsia="仿宋_GB2312" w:cs="仿宋_GB2312"/>
                <w:kern w:val="0"/>
                <w:sz w:val="21"/>
                <w:szCs w:val="21"/>
                <w:highlight w:val="none"/>
                <w:lang w:eastAsia="zh-CN"/>
              </w:rPr>
              <w:t>。</w:t>
            </w:r>
          </w:p>
        </w:tc>
        <w:tc>
          <w:tcPr>
            <w:tcW w:w="264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《招标投标法》第五十八条</w:t>
            </w:r>
          </w:p>
        </w:tc>
        <w:tc>
          <w:tcPr>
            <w:tcW w:w="607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转让、分包无效，处转让、分包项目金额千分之五以上千分之十以下的罚款；有违法所得的，并处没收违法所得；可以责令停业整顿；情节严重的，由工商行政管理机关吊销营业执照。</w:t>
            </w:r>
          </w:p>
        </w:tc>
        <w:tc>
          <w:tcPr>
            <w:tcW w:w="179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特别严重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18</w:t>
            </w:r>
          </w:p>
        </w:tc>
        <w:tc>
          <w:tcPr>
            <w:tcW w:w="110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519"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8</w:t>
            </w:r>
          </w:p>
        </w:tc>
        <w:tc>
          <w:tcPr>
            <w:tcW w:w="2059" w:type="dxa"/>
            <w:vMerge w:val="restart"/>
            <w:tcBorders>
              <w:top w:val="single" w:color="000000" w:sz="4" w:space="0"/>
              <w:left w:val="single" w:color="000000" w:sz="4" w:space="0"/>
              <w:right w:val="single" w:color="auto"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非因不可抗力和招标人原因，不按照与招标人订立的合同履行义务</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lang w:val="en-US" w:eastAsia="zh-CN"/>
              </w:rPr>
              <w:t>包括但不限于</w:t>
            </w:r>
            <w:r>
              <w:rPr>
                <w:rFonts w:hint="eastAsia" w:ascii="仿宋_GB2312" w:hAnsi="仿宋_GB2312" w:eastAsia="仿宋_GB2312" w:cs="仿宋_GB2312"/>
                <w:kern w:val="0"/>
                <w:sz w:val="21"/>
                <w:szCs w:val="21"/>
                <w:highlight w:val="none"/>
                <w:lang w:eastAsia="zh-CN"/>
              </w:rPr>
              <w:t>）</w:t>
            </w:r>
          </w:p>
        </w:tc>
        <w:tc>
          <w:tcPr>
            <w:tcW w:w="4278" w:type="dxa"/>
            <w:tcBorders>
              <w:top w:val="single" w:color="000000" w:sz="4" w:space="0"/>
              <w:left w:val="single" w:color="auto"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未按时提交检测结果</w:t>
            </w:r>
            <w:r>
              <w:rPr>
                <w:rFonts w:hint="eastAsia" w:ascii="仿宋_GB2312" w:hAnsi="仿宋_GB2312" w:eastAsia="仿宋_GB2312" w:cs="仿宋_GB2312"/>
                <w:kern w:val="0"/>
                <w:sz w:val="21"/>
                <w:szCs w:val="21"/>
                <w:highlight w:val="none"/>
                <w:lang w:eastAsia="zh-CN"/>
              </w:rPr>
              <w:t>。</w:t>
            </w:r>
          </w:p>
        </w:tc>
        <w:tc>
          <w:tcPr>
            <w:tcW w:w="2640" w:type="dxa"/>
            <w:vMerge w:val="restart"/>
            <w:tcBorders>
              <w:top w:val="single" w:color="000000" w:sz="4" w:space="0"/>
              <w:left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《招标投标法》第六十条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质量检测单位与委托人签订的检测合同</w:t>
            </w:r>
          </w:p>
        </w:tc>
        <w:tc>
          <w:tcPr>
            <w:tcW w:w="6075" w:type="dxa"/>
            <w:vMerge w:val="restart"/>
            <w:tcBorders>
              <w:top w:val="single" w:color="000000" w:sz="4" w:space="0"/>
              <w:left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 xml:space="preserve">情节严重的，取消其二年至五年内参加依法必须进行招标的项目的投标资格并予以公告，直至由工商行政管理机关吊销营业执照。 </w:t>
            </w:r>
          </w:p>
        </w:tc>
        <w:tc>
          <w:tcPr>
            <w:tcW w:w="1799" w:type="dxa"/>
            <w:vMerge w:val="restart"/>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轻微（不予行政处理的不予公告）；一般；严重；特别严重</w:t>
            </w:r>
          </w:p>
        </w:tc>
        <w:tc>
          <w:tcPr>
            <w:tcW w:w="1134" w:type="dxa"/>
            <w:vMerge w:val="restart"/>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2～10</w:t>
            </w:r>
          </w:p>
        </w:tc>
        <w:tc>
          <w:tcPr>
            <w:tcW w:w="1134" w:type="dxa"/>
            <w:vMerge w:val="restart"/>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c>
          <w:tcPr>
            <w:tcW w:w="1109" w:type="dxa"/>
            <w:vMerge w:val="restart"/>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0～18</w:t>
            </w:r>
          </w:p>
        </w:tc>
      </w:tr>
      <w:tr>
        <w:tblPrEx>
          <w:tblLayout w:type="fixed"/>
          <w:tblCellMar>
            <w:top w:w="0" w:type="dxa"/>
            <w:left w:w="108" w:type="dxa"/>
            <w:bottom w:w="0" w:type="dxa"/>
            <w:right w:w="108" w:type="dxa"/>
          </w:tblCellMar>
        </w:tblPrEx>
        <w:trPr>
          <w:trHeight w:val="706"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9</w:t>
            </w:r>
          </w:p>
        </w:tc>
        <w:tc>
          <w:tcPr>
            <w:tcW w:w="2059" w:type="dxa"/>
            <w:vMerge w:val="continue"/>
            <w:tcBorders>
              <w:left w:val="single" w:color="000000" w:sz="4" w:space="0"/>
              <w:right w:val="single" w:color="auto"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p>
        </w:tc>
        <w:tc>
          <w:tcPr>
            <w:tcW w:w="4278" w:type="dxa"/>
            <w:tcBorders>
              <w:top w:val="single" w:color="000000" w:sz="4" w:space="0"/>
              <w:left w:val="single" w:color="auto"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未按约定时间派员到工地现场完成抽检，影响工程进度</w:t>
            </w:r>
            <w:r>
              <w:rPr>
                <w:rFonts w:hint="eastAsia" w:ascii="仿宋_GB2312" w:hAnsi="仿宋_GB2312" w:eastAsia="仿宋_GB2312" w:cs="仿宋_GB2312"/>
                <w:kern w:val="0"/>
                <w:sz w:val="21"/>
                <w:szCs w:val="21"/>
                <w:highlight w:val="none"/>
                <w:lang w:eastAsia="zh-CN"/>
              </w:rPr>
              <w:t>。</w:t>
            </w:r>
          </w:p>
        </w:tc>
        <w:tc>
          <w:tcPr>
            <w:tcW w:w="2640" w:type="dxa"/>
            <w:vMerge w:val="continue"/>
            <w:tcBorders>
              <w:left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p>
        </w:tc>
        <w:tc>
          <w:tcPr>
            <w:tcW w:w="6075" w:type="dxa"/>
            <w:vMerge w:val="continue"/>
            <w:tcBorders>
              <w:left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p>
        </w:tc>
        <w:tc>
          <w:tcPr>
            <w:tcW w:w="1799" w:type="dxa"/>
            <w:vMerge w:val="continue"/>
            <w:tcBorders>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c>
          <w:tcPr>
            <w:tcW w:w="1134" w:type="dxa"/>
            <w:vMerge w:val="continue"/>
            <w:tcBorders>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c>
          <w:tcPr>
            <w:tcW w:w="1134" w:type="dxa"/>
            <w:vMerge w:val="continue"/>
            <w:tcBorders>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c>
          <w:tcPr>
            <w:tcW w:w="1109" w:type="dxa"/>
            <w:vMerge w:val="continue"/>
            <w:tcBorders>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676"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10</w:t>
            </w:r>
          </w:p>
        </w:tc>
        <w:tc>
          <w:tcPr>
            <w:tcW w:w="2059" w:type="dxa"/>
            <w:vMerge w:val="continue"/>
            <w:tcBorders>
              <w:left w:val="single" w:color="000000" w:sz="4" w:space="0"/>
              <w:bottom w:val="single" w:color="000000" w:sz="4" w:space="0"/>
              <w:right w:val="single" w:color="auto"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p>
        </w:tc>
        <w:tc>
          <w:tcPr>
            <w:tcW w:w="4278" w:type="dxa"/>
            <w:tcBorders>
              <w:top w:val="single" w:color="000000" w:sz="4" w:space="0"/>
              <w:left w:val="single" w:color="auto"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因检测过失给工程造成损失</w:t>
            </w:r>
            <w:r>
              <w:rPr>
                <w:rFonts w:hint="eastAsia" w:ascii="仿宋_GB2312" w:hAnsi="仿宋_GB2312" w:eastAsia="仿宋_GB2312" w:cs="仿宋_GB2312"/>
                <w:kern w:val="0"/>
                <w:sz w:val="21"/>
                <w:szCs w:val="21"/>
                <w:highlight w:val="none"/>
                <w:lang w:eastAsia="zh-CN"/>
              </w:rPr>
              <w:t>。</w:t>
            </w:r>
          </w:p>
        </w:tc>
        <w:tc>
          <w:tcPr>
            <w:tcW w:w="2640" w:type="dxa"/>
            <w:vMerge w:val="continue"/>
            <w:tcBorders>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p>
        </w:tc>
        <w:tc>
          <w:tcPr>
            <w:tcW w:w="6075" w:type="dxa"/>
            <w:vMerge w:val="continue"/>
            <w:tcBorders>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p>
        </w:tc>
        <w:tc>
          <w:tcPr>
            <w:tcW w:w="1799" w:type="dxa"/>
            <w:vMerge w:val="continue"/>
            <w:tcBorders>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c>
          <w:tcPr>
            <w:tcW w:w="1134" w:type="dxa"/>
            <w:vMerge w:val="continue"/>
            <w:tcBorders>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c>
          <w:tcPr>
            <w:tcW w:w="1134" w:type="dxa"/>
            <w:vMerge w:val="continue"/>
            <w:tcBorders>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c>
          <w:tcPr>
            <w:tcW w:w="1109" w:type="dxa"/>
            <w:vMerge w:val="continue"/>
            <w:tcBorders>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962"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11</w:t>
            </w:r>
          </w:p>
        </w:tc>
        <w:tc>
          <w:tcPr>
            <w:tcW w:w="63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无正当理由不与招标人订立合同；或者在签订合同时向招标人提出附加条件；或者不按照招标文件要求提交履约保证金</w:t>
            </w:r>
            <w:r>
              <w:rPr>
                <w:rFonts w:hint="eastAsia" w:ascii="仿宋_GB2312" w:hAnsi="仿宋_GB2312" w:eastAsia="仿宋_GB2312" w:cs="仿宋_GB2312"/>
                <w:kern w:val="0"/>
                <w:sz w:val="21"/>
                <w:szCs w:val="21"/>
                <w:highlight w:val="none"/>
                <w:lang w:eastAsia="zh-CN"/>
              </w:rPr>
              <w:t>。</w:t>
            </w:r>
          </w:p>
        </w:tc>
        <w:tc>
          <w:tcPr>
            <w:tcW w:w="264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《招标投标法实施条例》第七十四条</w:t>
            </w:r>
          </w:p>
        </w:tc>
        <w:tc>
          <w:tcPr>
            <w:tcW w:w="607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取消其中标资格，投标保证金不予退还。对依法必须进行招标的项目的中标人，由有关行政监督部门责令改正，可以处中标项目金额10‰以下的罚款。</w:t>
            </w:r>
          </w:p>
        </w:tc>
        <w:tc>
          <w:tcPr>
            <w:tcW w:w="179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严重；特别严重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12～18</w:t>
            </w:r>
          </w:p>
        </w:tc>
        <w:tc>
          <w:tcPr>
            <w:tcW w:w="110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12～18</w:t>
            </w:r>
          </w:p>
        </w:tc>
      </w:tr>
      <w:tr>
        <w:tblPrEx>
          <w:tblLayout w:type="fixed"/>
          <w:tblCellMar>
            <w:top w:w="0" w:type="dxa"/>
            <w:left w:w="108" w:type="dxa"/>
            <w:bottom w:w="0" w:type="dxa"/>
            <w:right w:w="108" w:type="dxa"/>
          </w:tblCellMar>
        </w:tblPrEx>
        <w:trPr>
          <w:trHeight w:val="888"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12</w:t>
            </w:r>
          </w:p>
        </w:tc>
        <w:tc>
          <w:tcPr>
            <w:tcW w:w="63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与招标人订立合同的主要条款与招标文件、中标人的投标文件的内容不一致；或者招标人、中标人订立背离合同实质性内容的协议</w:t>
            </w:r>
            <w:r>
              <w:rPr>
                <w:rFonts w:hint="eastAsia" w:ascii="仿宋_GB2312" w:hAnsi="仿宋_GB2312" w:eastAsia="仿宋_GB2312" w:cs="仿宋_GB2312"/>
                <w:kern w:val="0"/>
                <w:sz w:val="21"/>
                <w:szCs w:val="21"/>
                <w:highlight w:val="none"/>
                <w:lang w:eastAsia="zh-CN"/>
              </w:rPr>
              <w:t>。</w:t>
            </w:r>
          </w:p>
        </w:tc>
        <w:tc>
          <w:tcPr>
            <w:tcW w:w="264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《招标投标法》第五十九条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《招标投标法实施条例》第七十五条</w:t>
            </w:r>
          </w:p>
        </w:tc>
        <w:tc>
          <w:tcPr>
            <w:tcW w:w="607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责令改正，可以处中标项目金额千分之五以上千分之十的罚款。</w:t>
            </w:r>
          </w:p>
        </w:tc>
        <w:tc>
          <w:tcPr>
            <w:tcW w:w="179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2～10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6～18</w:t>
            </w:r>
          </w:p>
        </w:tc>
        <w:tc>
          <w:tcPr>
            <w:tcW w:w="110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1731"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13</w:t>
            </w:r>
          </w:p>
        </w:tc>
        <w:tc>
          <w:tcPr>
            <w:tcW w:w="63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捏造或者虚构事项投诉干扰招标工作正常进行</w:t>
            </w:r>
            <w:r>
              <w:rPr>
                <w:rFonts w:hint="eastAsia" w:ascii="仿宋_GB2312" w:hAnsi="仿宋_GB2312" w:eastAsia="仿宋_GB2312" w:cs="仿宋_GB2312"/>
                <w:kern w:val="0"/>
                <w:sz w:val="21"/>
                <w:szCs w:val="21"/>
                <w:highlight w:val="none"/>
                <w:lang w:eastAsia="zh-CN"/>
              </w:rPr>
              <w:t>。</w:t>
            </w:r>
          </w:p>
        </w:tc>
        <w:tc>
          <w:tcPr>
            <w:tcW w:w="264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《招标投标法实施条例》第七十七条</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《工程建设项目招标投标活动投诉处理办法》（国家七部委11号令）第二十六条</w:t>
            </w:r>
          </w:p>
        </w:tc>
        <w:tc>
          <w:tcPr>
            <w:tcW w:w="607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驳回投诉，并给予警告；情节严重的，可以并处一万元以下罚款。</w:t>
            </w:r>
            <w:r>
              <w:rPr>
                <w:rFonts w:hint="eastAsia" w:ascii="仿宋_GB2312" w:hAnsi="仿宋_GB2312" w:eastAsia="仿宋_GB2312" w:cs="仿宋_GB2312"/>
                <w:kern w:val="0"/>
                <w:sz w:val="21"/>
                <w:szCs w:val="21"/>
                <w:highlight w:val="none"/>
              </w:rPr>
              <w:br w:type="textWrapping"/>
            </w:r>
            <w:r>
              <w:rPr>
                <w:rFonts w:hint="eastAsia" w:ascii="仿宋_GB2312" w:hAnsi="仿宋_GB2312" w:eastAsia="仿宋_GB2312" w:cs="仿宋_GB2312"/>
                <w:kern w:val="0"/>
                <w:sz w:val="21"/>
                <w:szCs w:val="21"/>
                <w:highlight w:val="none"/>
              </w:rPr>
              <w:t>给他人造成损失的，依法承担赔偿责任。</w:t>
            </w:r>
          </w:p>
        </w:tc>
        <w:tc>
          <w:tcPr>
            <w:tcW w:w="179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特别严重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18</w:t>
            </w:r>
          </w:p>
        </w:tc>
        <w:tc>
          <w:tcPr>
            <w:tcW w:w="110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1265" w:hRule="atLeast"/>
          <w:jc w:val="center"/>
        </w:trPr>
        <w:tc>
          <w:tcPr>
            <w:tcW w:w="715" w:type="dxa"/>
            <w:vMerge w:val="restart"/>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质量安全</w:t>
            </w: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14</w:t>
            </w:r>
          </w:p>
        </w:tc>
        <w:tc>
          <w:tcPr>
            <w:tcW w:w="63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未</w:t>
            </w:r>
            <w:r>
              <w:rPr>
                <w:rFonts w:hint="eastAsia" w:ascii="仿宋_GB2312" w:hAnsi="仿宋_GB2312" w:eastAsia="仿宋_GB2312" w:cs="仿宋_GB2312"/>
                <w:kern w:val="0"/>
                <w:sz w:val="21"/>
                <w:szCs w:val="21"/>
                <w:highlight w:val="none"/>
              </w:rPr>
              <w:t>建立检测结果不合格项目台账</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lang w:val="en-US" w:eastAsia="zh-CN"/>
              </w:rPr>
              <w:t>或者未</w:t>
            </w:r>
            <w:r>
              <w:rPr>
                <w:rFonts w:hint="eastAsia" w:ascii="仿宋_GB2312" w:hAnsi="仿宋_GB2312" w:eastAsia="仿宋_GB2312" w:cs="仿宋_GB2312"/>
                <w:kern w:val="0"/>
                <w:sz w:val="21"/>
                <w:szCs w:val="21"/>
                <w:highlight w:val="none"/>
              </w:rPr>
              <w:t>将可能形成质量隐患或者影响工程正常运行的检测结果及时报告委托方</w:t>
            </w:r>
            <w:r>
              <w:rPr>
                <w:rFonts w:hint="eastAsia" w:ascii="仿宋_GB2312" w:hAnsi="仿宋_GB2312" w:eastAsia="仿宋_GB2312" w:cs="仿宋_GB2312"/>
                <w:kern w:val="0"/>
                <w:sz w:val="21"/>
                <w:szCs w:val="21"/>
                <w:highlight w:val="none"/>
                <w:lang w:eastAsia="zh-CN"/>
              </w:rPr>
              <w:t>。</w:t>
            </w:r>
          </w:p>
        </w:tc>
        <w:tc>
          <w:tcPr>
            <w:tcW w:w="264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四十八</w:t>
            </w:r>
            <w:r>
              <w:rPr>
                <w:rFonts w:hint="eastAsia" w:ascii="仿宋_GB2312" w:hAnsi="仿宋_GB2312" w:eastAsia="仿宋_GB2312" w:cs="仿宋_GB2312"/>
                <w:kern w:val="0"/>
                <w:sz w:val="21"/>
                <w:szCs w:val="21"/>
                <w:highlight w:val="none"/>
              </w:rPr>
              <w:t>条</w:t>
            </w:r>
          </w:p>
          <w:p>
            <w:pPr>
              <w:snapToGrid w:val="0"/>
              <w:spacing w:line="240" w:lineRule="auto"/>
              <w:jc w:val="left"/>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《水利工程质量检测管理规定》第二十七条</w:t>
            </w:r>
          </w:p>
        </w:tc>
        <w:tc>
          <w:tcPr>
            <w:tcW w:w="607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责令改正，有违法所得的，没收违法所得，可并处1万元以上3万元以下的罚款；构成犯罪的，依法追究刑事责任。</w:t>
            </w:r>
          </w:p>
        </w:tc>
        <w:tc>
          <w:tcPr>
            <w:tcW w:w="179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轻微；一般；严重；特别严重</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2～10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c>
          <w:tcPr>
            <w:tcW w:w="110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1265" w:hRule="atLeast"/>
          <w:jc w:val="center"/>
        </w:trPr>
        <w:tc>
          <w:tcPr>
            <w:tcW w:w="715" w:type="dxa"/>
            <w:vMerge w:val="continue"/>
            <w:tcBorders>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lang w:val="en-US" w:eastAsia="zh-CN"/>
              </w:rPr>
            </w:pP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15</w:t>
            </w:r>
          </w:p>
        </w:tc>
        <w:tc>
          <w:tcPr>
            <w:tcW w:w="63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检测单位伪造检测数据和检测结论，出具虚假质量检测报告</w:t>
            </w:r>
            <w:r>
              <w:rPr>
                <w:rFonts w:hint="eastAsia" w:ascii="仿宋_GB2312" w:hAnsi="仿宋_GB2312" w:eastAsia="仿宋_GB2312" w:cs="仿宋_GB2312"/>
                <w:kern w:val="0"/>
                <w:sz w:val="21"/>
                <w:szCs w:val="21"/>
                <w:highlight w:val="none"/>
                <w:lang w:eastAsia="zh-CN"/>
              </w:rPr>
              <w:t>。</w:t>
            </w:r>
          </w:p>
        </w:tc>
        <w:tc>
          <w:tcPr>
            <w:tcW w:w="264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《水利工程质量管理规定》第</w:t>
            </w:r>
            <w:r>
              <w:rPr>
                <w:rFonts w:hint="eastAsia" w:ascii="仿宋_GB2312" w:hAnsi="仿宋_GB2312" w:eastAsia="仿宋_GB2312" w:cs="仿宋_GB2312"/>
                <w:kern w:val="0"/>
                <w:sz w:val="21"/>
                <w:szCs w:val="21"/>
                <w:highlight w:val="none"/>
                <w:lang w:val="en-US" w:eastAsia="zh-CN"/>
              </w:rPr>
              <w:t>五十</w:t>
            </w:r>
            <w:r>
              <w:rPr>
                <w:rFonts w:hint="eastAsia" w:ascii="仿宋_GB2312" w:hAnsi="仿宋_GB2312" w:eastAsia="仿宋_GB2312" w:cs="仿宋_GB2312"/>
                <w:kern w:val="0"/>
                <w:sz w:val="21"/>
                <w:szCs w:val="21"/>
                <w:highlight w:val="none"/>
              </w:rPr>
              <w:t>条</w:t>
            </w:r>
            <w:r>
              <w:rPr>
                <w:rFonts w:hint="eastAsia" w:ascii="仿宋_GB2312" w:hAnsi="仿宋_GB2312" w:eastAsia="仿宋_GB2312" w:cs="仿宋_GB2312"/>
                <w:kern w:val="0"/>
                <w:sz w:val="21"/>
                <w:szCs w:val="21"/>
                <w:highlight w:val="none"/>
                <w:lang w:eastAsia="zh-CN"/>
              </w:rPr>
              <w:t>、</w:t>
            </w:r>
            <w:r>
              <w:rPr>
                <w:rFonts w:hint="eastAsia" w:ascii="仿宋_GB2312" w:hAnsi="仿宋_GB2312" w:eastAsia="仿宋_GB2312" w:cs="仿宋_GB2312"/>
                <w:kern w:val="0"/>
                <w:sz w:val="21"/>
                <w:szCs w:val="21"/>
                <w:highlight w:val="none"/>
                <w:lang w:val="en-US" w:eastAsia="zh-CN"/>
              </w:rPr>
              <w:t>第七十二条</w:t>
            </w:r>
          </w:p>
          <w:p>
            <w:pPr>
              <w:snapToGrid w:val="0"/>
              <w:spacing w:line="240" w:lineRule="auto"/>
              <w:jc w:val="left"/>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《水利工程质量检测管理规定》第二十八条</w:t>
            </w:r>
          </w:p>
        </w:tc>
        <w:tc>
          <w:tcPr>
            <w:tcW w:w="607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责令改正，给予警告或者通报批评，处10万元以下罚款；给他人造成损失的，依法承担赔偿责任。</w:t>
            </w:r>
          </w:p>
        </w:tc>
        <w:tc>
          <w:tcPr>
            <w:tcW w:w="179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特别严重（符合规定的，列入严重失信主体名单处理）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10</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18</w:t>
            </w:r>
          </w:p>
        </w:tc>
        <w:tc>
          <w:tcPr>
            <w:tcW w:w="110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18</w:t>
            </w:r>
          </w:p>
        </w:tc>
      </w:tr>
      <w:tr>
        <w:tblPrEx>
          <w:tblLayout w:type="fixed"/>
          <w:tblCellMar>
            <w:top w:w="0" w:type="dxa"/>
            <w:left w:w="108" w:type="dxa"/>
            <w:bottom w:w="0" w:type="dxa"/>
            <w:right w:w="108" w:type="dxa"/>
          </w:tblCellMar>
        </w:tblPrEx>
        <w:trPr>
          <w:trHeight w:val="592" w:hRule="atLeast"/>
          <w:jc w:val="center"/>
        </w:trPr>
        <w:tc>
          <w:tcPr>
            <w:tcW w:w="715" w:type="dxa"/>
            <w:vMerge w:val="continue"/>
            <w:tcBorders>
              <w:left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16</w:t>
            </w:r>
          </w:p>
        </w:tc>
        <w:tc>
          <w:tcPr>
            <w:tcW w:w="63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未按照国家和行业标准进行检测</w:t>
            </w:r>
            <w:r>
              <w:rPr>
                <w:rFonts w:hint="eastAsia" w:ascii="仿宋_GB2312" w:hAnsi="仿宋_GB2312" w:eastAsia="仿宋_GB2312" w:cs="仿宋_GB2312"/>
                <w:kern w:val="0"/>
                <w:sz w:val="21"/>
                <w:szCs w:val="21"/>
                <w:highlight w:val="none"/>
                <w:lang w:eastAsia="zh-CN"/>
              </w:rPr>
              <w:t>。</w:t>
            </w:r>
          </w:p>
        </w:tc>
        <w:tc>
          <w:tcPr>
            <w:tcW w:w="2640" w:type="dxa"/>
            <w:vMerge w:val="restart"/>
            <w:tcBorders>
              <w:top w:val="single" w:color="000000" w:sz="4" w:space="0"/>
              <w:left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《水利工程质量检测管理规定》第二十七条</w:t>
            </w:r>
          </w:p>
        </w:tc>
        <w:tc>
          <w:tcPr>
            <w:tcW w:w="6075" w:type="dxa"/>
            <w:vMerge w:val="restart"/>
            <w:tcBorders>
              <w:top w:val="single" w:color="000000" w:sz="4" w:space="0"/>
              <w:left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责令改正，有违法所得的，没收违法所得，可并处1万元以上3万元以下的罚款；构成犯罪的，依法追究刑事责任。</w:t>
            </w:r>
          </w:p>
        </w:tc>
        <w:tc>
          <w:tcPr>
            <w:tcW w:w="1799" w:type="dxa"/>
            <w:vMerge w:val="restart"/>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轻微；一般；严重；特别严重</w:t>
            </w:r>
          </w:p>
        </w:tc>
        <w:tc>
          <w:tcPr>
            <w:tcW w:w="1134" w:type="dxa"/>
            <w:vMerge w:val="restart"/>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2～10</w:t>
            </w:r>
          </w:p>
        </w:tc>
        <w:tc>
          <w:tcPr>
            <w:tcW w:w="1134" w:type="dxa"/>
            <w:vMerge w:val="restart"/>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c>
          <w:tcPr>
            <w:tcW w:w="1109" w:type="dxa"/>
            <w:vMerge w:val="restart"/>
            <w:tcBorders>
              <w:top w:val="single" w:color="000000" w:sz="4" w:space="0"/>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6～18</w:t>
            </w:r>
          </w:p>
        </w:tc>
      </w:tr>
      <w:tr>
        <w:tblPrEx>
          <w:tblLayout w:type="fixed"/>
          <w:tblCellMar>
            <w:top w:w="0" w:type="dxa"/>
            <w:left w:w="108" w:type="dxa"/>
            <w:bottom w:w="0" w:type="dxa"/>
            <w:right w:w="108" w:type="dxa"/>
          </w:tblCellMar>
        </w:tblPrEx>
        <w:trPr>
          <w:trHeight w:val="602" w:hRule="atLeast"/>
          <w:jc w:val="center"/>
        </w:trPr>
        <w:tc>
          <w:tcPr>
            <w:tcW w:w="715" w:type="dxa"/>
            <w:vMerge w:val="continue"/>
            <w:tcBorders>
              <w:left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17</w:t>
            </w:r>
          </w:p>
        </w:tc>
        <w:tc>
          <w:tcPr>
            <w:tcW w:w="63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未按规定上报发现的违法违规行为和检测不合格事项</w:t>
            </w:r>
            <w:r>
              <w:rPr>
                <w:rFonts w:hint="eastAsia" w:ascii="仿宋_GB2312" w:hAnsi="仿宋_GB2312" w:eastAsia="仿宋_GB2312" w:cs="仿宋_GB2312"/>
                <w:kern w:val="0"/>
                <w:sz w:val="21"/>
                <w:szCs w:val="21"/>
                <w:highlight w:val="none"/>
                <w:lang w:eastAsia="zh-CN"/>
              </w:rPr>
              <w:t>。</w:t>
            </w:r>
          </w:p>
        </w:tc>
        <w:tc>
          <w:tcPr>
            <w:tcW w:w="2640" w:type="dxa"/>
            <w:vMerge w:val="continue"/>
            <w:tcBorders>
              <w:left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p>
        </w:tc>
        <w:tc>
          <w:tcPr>
            <w:tcW w:w="6075" w:type="dxa"/>
            <w:vMerge w:val="continue"/>
            <w:tcBorders>
              <w:left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p>
        </w:tc>
        <w:tc>
          <w:tcPr>
            <w:tcW w:w="1799" w:type="dxa"/>
            <w:vMerge w:val="continue"/>
            <w:tcBorders>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p>
        </w:tc>
        <w:tc>
          <w:tcPr>
            <w:tcW w:w="1134" w:type="dxa"/>
            <w:vMerge w:val="continue"/>
            <w:tcBorders>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p>
        </w:tc>
        <w:tc>
          <w:tcPr>
            <w:tcW w:w="1134" w:type="dxa"/>
            <w:vMerge w:val="continue"/>
            <w:tcBorders>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p>
        </w:tc>
        <w:tc>
          <w:tcPr>
            <w:tcW w:w="1109" w:type="dxa"/>
            <w:vMerge w:val="continue"/>
            <w:tcBorders>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p>
        </w:tc>
      </w:tr>
      <w:tr>
        <w:tblPrEx>
          <w:tblLayout w:type="fixed"/>
          <w:tblCellMar>
            <w:top w:w="0" w:type="dxa"/>
            <w:left w:w="108" w:type="dxa"/>
            <w:bottom w:w="0" w:type="dxa"/>
            <w:right w:w="108" w:type="dxa"/>
          </w:tblCellMar>
        </w:tblPrEx>
        <w:trPr>
          <w:trHeight w:val="662" w:hRule="atLeast"/>
          <w:jc w:val="center"/>
        </w:trPr>
        <w:tc>
          <w:tcPr>
            <w:tcW w:w="715" w:type="dxa"/>
            <w:vMerge w:val="continue"/>
            <w:tcBorders>
              <w:left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18</w:t>
            </w:r>
          </w:p>
        </w:tc>
        <w:tc>
          <w:tcPr>
            <w:tcW w:w="63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未按规定在质量检测报告上签字盖章；或者质量检测报告签发存在其他不符合规定的情形</w:t>
            </w:r>
            <w:r>
              <w:rPr>
                <w:rFonts w:hint="eastAsia" w:ascii="仿宋_GB2312" w:hAnsi="仿宋_GB2312" w:eastAsia="仿宋_GB2312" w:cs="仿宋_GB2312"/>
                <w:kern w:val="0"/>
                <w:sz w:val="21"/>
                <w:szCs w:val="21"/>
                <w:highlight w:val="none"/>
                <w:lang w:eastAsia="zh-CN"/>
              </w:rPr>
              <w:t>。</w:t>
            </w:r>
          </w:p>
        </w:tc>
        <w:tc>
          <w:tcPr>
            <w:tcW w:w="2640" w:type="dxa"/>
            <w:vMerge w:val="continue"/>
            <w:tcBorders>
              <w:left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p>
        </w:tc>
        <w:tc>
          <w:tcPr>
            <w:tcW w:w="6075" w:type="dxa"/>
            <w:vMerge w:val="continue"/>
            <w:tcBorders>
              <w:left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p>
        </w:tc>
        <w:tc>
          <w:tcPr>
            <w:tcW w:w="1799" w:type="dxa"/>
            <w:vMerge w:val="continue"/>
            <w:tcBorders>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c>
          <w:tcPr>
            <w:tcW w:w="1134" w:type="dxa"/>
            <w:vMerge w:val="continue"/>
            <w:tcBorders>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c>
          <w:tcPr>
            <w:tcW w:w="1134" w:type="dxa"/>
            <w:vMerge w:val="continue"/>
            <w:tcBorders>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c>
          <w:tcPr>
            <w:tcW w:w="1109" w:type="dxa"/>
            <w:vMerge w:val="continue"/>
            <w:tcBorders>
              <w:left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580" w:hRule="atLeast"/>
          <w:jc w:val="center"/>
        </w:trPr>
        <w:tc>
          <w:tcPr>
            <w:tcW w:w="715" w:type="dxa"/>
            <w:vMerge w:val="continue"/>
            <w:tcBorders>
              <w:left w:val="single" w:color="000000" w:sz="4" w:space="0"/>
              <w:right w:val="single" w:color="000000" w:sz="4" w:space="0"/>
            </w:tcBorders>
            <w:vAlign w:val="center"/>
          </w:tcPr>
          <w:p>
            <w:pPr>
              <w:snapToGrid w:val="0"/>
              <w:spacing w:line="240" w:lineRule="auto"/>
              <w:jc w:val="center"/>
              <w:rPr>
                <w:rFonts w:hint="eastAsia" w:ascii="仿宋_GB2312" w:hAnsi="仿宋_GB2312" w:eastAsia="仿宋_GB2312" w:cs="仿宋_GB2312"/>
                <w:sz w:val="21"/>
                <w:szCs w:val="21"/>
                <w:highlight w:val="none"/>
              </w:rPr>
            </w:pP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19</w:t>
            </w:r>
          </w:p>
        </w:tc>
        <w:tc>
          <w:tcPr>
            <w:tcW w:w="63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kern w:val="0"/>
                <w:sz w:val="21"/>
                <w:szCs w:val="21"/>
                <w:highlight w:val="none"/>
              </w:rPr>
              <w:t>档案资料管理混乱，造成检测数据无法追溯</w:t>
            </w:r>
            <w:r>
              <w:rPr>
                <w:rFonts w:hint="eastAsia" w:ascii="仿宋_GB2312" w:hAnsi="仿宋_GB2312" w:eastAsia="仿宋_GB2312" w:cs="仿宋_GB2312"/>
                <w:kern w:val="0"/>
                <w:sz w:val="21"/>
                <w:szCs w:val="21"/>
                <w:highlight w:val="none"/>
                <w:lang w:eastAsia="zh-CN"/>
              </w:rPr>
              <w:t>。</w:t>
            </w:r>
          </w:p>
        </w:tc>
        <w:tc>
          <w:tcPr>
            <w:tcW w:w="2640" w:type="dxa"/>
            <w:vMerge w:val="continue"/>
            <w:tcBorders>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p>
        </w:tc>
        <w:tc>
          <w:tcPr>
            <w:tcW w:w="6075" w:type="dxa"/>
            <w:vMerge w:val="continue"/>
            <w:tcBorders>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kern w:val="0"/>
                <w:sz w:val="21"/>
                <w:szCs w:val="21"/>
                <w:highlight w:val="none"/>
              </w:rPr>
            </w:pPr>
          </w:p>
        </w:tc>
        <w:tc>
          <w:tcPr>
            <w:tcW w:w="1799" w:type="dxa"/>
            <w:vMerge w:val="continue"/>
            <w:tcBorders>
              <w:left w:val="single" w:color="000000" w:sz="4" w:space="0"/>
              <w:bottom w:val="single" w:color="auto"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c>
          <w:tcPr>
            <w:tcW w:w="1134" w:type="dxa"/>
            <w:vMerge w:val="continue"/>
            <w:tcBorders>
              <w:left w:val="single" w:color="000000" w:sz="4" w:space="0"/>
              <w:bottom w:val="single" w:color="auto"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c>
          <w:tcPr>
            <w:tcW w:w="1134" w:type="dxa"/>
            <w:vMerge w:val="continue"/>
            <w:tcBorders>
              <w:left w:val="single" w:color="000000" w:sz="4" w:space="0"/>
              <w:bottom w:val="single" w:color="auto"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c>
          <w:tcPr>
            <w:tcW w:w="1109" w:type="dxa"/>
            <w:vMerge w:val="continue"/>
            <w:tcBorders>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kern w:val="0"/>
                <w:sz w:val="21"/>
                <w:szCs w:val="21"/>
                <w:highlight w:val="none"/>
              </w:rPr>
            </w:pPr>
          </w:p>
        </w:tc>
      </w:tr>
      <w:tr>
        <w:tblPrEx>
          <w:tblLayout w:type="fixed"/>
          <w:tblCellMar>
            <w:top w:w="0" w:type="dxa"/>
            <w:left w:w="108" w:type="dxa"/>
            <w:bottom w:w="0" w:type="dxa"/>
            <w:right w:w="108" w:type="dxa"/>
          </w:tblCellMar>
        </w:tblPrEx>
        <w:trPr>
          <w:trHeight w:val="1170" w:hRule="atLeast"/>
          <w:jc w:val="center"/>
        </w:trPr>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其他</w:t>
            </w:r>
          </w:p>
        </w:tc>
        <w:tc>
          <w:tcPr>
            <w:tcW w:w="66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20</w:t>
            </w:r>
          </w:p>
        </w:tc>
        <w:tc>
          <w:tcPr>
            <w:tcW w:w="63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在相关信用信息平台中录入的信息或向有关行政部门、专业部门提供的信息存在故意隐瞒真实情况、弄虚作假情况</w:t>
            </w:r>
            <w:r>
              <w:rPr>
                <w:rFonts w:hint="eastAsia" w:ascii="仿宋_GB2312" w:hAnsi="仿宋_GB2312" w:eastAsia="仿宋_GB2312" w:cs="仿宋_GB2312"/>
                <w:kern w:val="0"/>
                <w:sz w:val="21"/>
                <w:szCs w:val="21"/>
                <w:highlight w:val="none"/>
                <w:lang w:eastAsia="zh-CN"/>
              </w:rPr>
              <w:t>。</w:t>
            </w:r>
          </w:p>
        </w:tc>
        <w:tc>
          <w:tcPr>
            <w:tcW w:w="264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 xml:space="preserve">《水利部关于促进市场公平竞争维护水利建设市场正常秩序的实施意见》第（十三）条 </w:t>
            </w:r>
          </w:p>
        </w:tc>
        <w:tc>
          <w:tcPr>
            <w:tcW w:w="607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left"/>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对在公告信息中隐瞒真实情况、弄虚作假的，作为严重失信行为列入黑名单。对未建立信用档案的市场主体，各级水行政主管部门可依据有关规定采取相应处理措施。</w:t>
            </w:r>
          </w:p>
        </w:tc>
        <w:tc>
          <w:tcPr>
            <w:tcW w:w="1799" w:type="dxa"/>
            <w:tcBorders>
              <w:top w:val="single" w:color="auto"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特别严重</w:t>
            </w:r>
          </w:p>
        </w:tc>
        <w:tc>
          <w:tcPr>
            <w:tcW w:w="1134" w:type="dxa"/>
            <w:tcBorders>
              <w:top w:val="single" w:color="auto"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10</w:t>
            </w:r>
          </w:p>
        </w:tc>
        <w:tc>
          <w:tcPr>
            <w:tcW w:w="1134" w:type="dxa"/>
            <w:tcBorders>
              <w:top w:val="single" w:color="auto"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18</w:t>
            </w:r>
          </w:p>
        </w:tc>
        <w:tc>
          <w:tcPr>
            <w:tcW w:w="110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18</w:t>
            </w:r>
          </w:p>
        </w:tc>
      </w:tr>
    </w:tbl>
    <w:p>
      <w:pPr>
        <w:ind w:firstLine="319" w:firstLineChars="101"/>
        <w:rPr>
          <w:rFonts w:hint="eastAsia"/>
          <w:highlight w:val="none"/>
        </w:rPr>
      </w:pPr>
    </w:p>
    <w:p>
      <w:pPr>
        <w:pStyle w:val="3"/>
        <w:sectPr>
          <w:pgSz w:w="23757" w:h="16783" w:orient="landscape"/>
          <w:pgMar w:top="1588" w:right="2098" w:bottom="1474" w:left="1985" w:header="851" w:footer="1134" w:gutter="0"/>
          <w:pgNumType w:fmt="numberInDash"/>
          <w:cols w:space="720" w:num="1"/>
          <w:docGrid w:type="linesAndChars" w:linePitch="579" w:charSpace="-842"/>
        </w:sectPr>
      </w:pPr>
    </w:p>
    <w:p>
      <w:pPr>
        <w:rPr>
          <w:rFonts w:ascii="黑体" w:hAnsi="黑体" w:eastAsia="黑体" w:cs="Times New Roman"/>
          <w:sz w:val="32"/>
          <w:szCs w:val="32"/>
        </w:rPr>
      </w:pPr>
      <w:r>
        <w:rPr>
          <w:rFonts w:hint="eastAsia" w:ascii="黑体" w:hAnsi="黑体" w:eastAsia="黑体" w:cs="Times New Roman"/>
          <w:sz w:val="32"/>
          <w:szCs w:val="32"/>
        </w:rPr>
        <w:t>附件4</w:t>
      </w:r>
    </w:p>
    <w:p>
      <w:pPr>
        <w:spacing w:line="480" w:lineRule="exact"/>
        <w:ind w:firstLine="160" w:firstLineChars="5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辽宁省水利建设市场主体不良行为认定告知书</w:t>
      </w:r>
    </w:p>
    <w:p>
      <w:pPr>
        <w:spacing w:before="159" w:beforeLines="50" w:line="480" w:lineRule="exact"/>
        <w:jc w:val="center"/>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u w:val="single"/>
        </w:rPr>
        <w:t xml:space="preserve">    </w:t>
      </w:r>
      <w:r>
        <w:rPr>
          <w:rFonts w:hint="eastAsia" w:ascii="楷体_GB2312" w:eastAsia="楷体_GB2312"/>
          <w:sz w:val="32"/>
          <w:szCs w:val="32"/>
        </w:rPr>
        <w:t>不良告知</w:t>
      </w:r>
      <w:r>
        <w:rPr>
          <w:rFonts w:hint="eastAsia" w:ascii="楷体_GB2312" w:hAnsi="宋体"/>
          <w:sz w:val="32"/>
          <w:szCs w:val="32"/>
        </w:rPr>
        <w:t>﹝</w:t>
      </w:r>
      <w:r>
        <w:rPr>
          <w:rFonts w:hint="eastAsia" w:ascii="楷体_GB2312" w:hAnsi="宋体" w:eastAsia="楷体_GB2312"/>
          <w:sz w:val="32"/>
          <w:szCs w:val="32"/>
        </w:rPr>
        <w:t xml:space="preserve">  </w:t>
      </w:r>
      <w:r>
        <w:rPr>
          <w:rFonts w:hint="eastAsia" w:ascii="楷体_GB2312" w:hAnsi="宋体" w:eastAsia="宋体"/>
          <w:sz w:val="32"/>
          <w:szCs w:val="32"/>
        </w:rPr>
        <w:t>﹞</w:t>
      </w:r>
      <w:r>
        <w:rPr>
          <w:rFonts w:hint="eastAsia" w:ascii="楷体_GB2312" w:hAnsi="宋体" w:eastAsia="楷体_GB2312"/>
          <w:sz w:val="32"/>
          <w:szCs w:val="32"/>
          <w:u w:val="single"/>
        </w:rPr>
        <w:t xml:space="preserve">   </w:t>
      </w:r>
      <w:r>
        <w:rPr>
          <w:rFonts w:hint="eastAsia" w:ascii="楷体_GB2312" w:hAnsi="宋体" w:eastAsia="楷体_GB2312"/>
          <w:sz w:val="32"/>
          <w:szCs w:val="32"/>
        </w:rPr>
        <w:t>号</w:t>
      </w:r>
      <w:r>
        <w:rPr>
          <w:rFonts w:hint="eastAsia" w:ascii="楷体_GB2312" w:eastAsia="楷体_GB2312"/>
          <w:sz w:val="32"/>
          <w:szCs w:val="32"/>
        </w:rPr>
        <w:t>）</w:t>
      </w:r>
    </w:p>
    <w:p>
      <w:pPr>
        <w:spacing w:line="480" w:lineRule="exact"/>
        <w:jc w:val="center"/>
        <w:rPr>
          <w:sz w:val="28"/>
          <w:szCs w:val="28"/>
        </w:rPr>
      </w:pPr>
    </w:p>
    <w:p>
      <w:pPr>
        <w:spacing w:line="560" w:lineRule="exact"/>
        <w:rPr>
          <w:rFonts w:ascii="仿宋_GB2312" w:hAnsi="宋体" w:eastAsia="仿宋_GB2312"/>
          <w:sz w:val="32"/>
          <w:szCs w:val="32"/>
        </w:rPr>
      </w:pPr>
      <w:r>
        <w:rPr>
          <w:rFonts w:hint="eastAsia" w:ascii="仿宋_GB2312" w:hAnsi="仿宋_GB2312" w:eastAsia="仿宋_GB2312"/>
          <w:sz w:val="32"/>
          <w:szCs w:val="32"/>
        </w:rPr>
        <w:t>水利建设市场主体名称（统一社会信用代码</w:t>
      </w:r>
      <w:r>
        <w:rPr>
          <w:rFonts w:hint="eastAsia" w:ascii="仿宋_GB2312" w:hAnsi="宋体" w:eastAsia="仿宋_GB2312"/>
          <w:sz w:val="32"/>
          <w:szCs w:val="32"/>
        </w:rPr>
        <w:t>）</w:t>
      </w:r>
      <w:r>
        <w:rPr>
          <w:rFonts w:hint="eastAsia" w:ascii="仿宋_GB2312" w:eastAsia="仿宋_GB2312"/>
          <w:sz w:val="32"/>
          <w:szCs w:val="32"/>
        </w:rPr>
        <w:t>：</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你单位（主要不良信用行为及其事实，包括时间、地点、基本情况、事件经过、危害后果等） ，违反了（法律条款或合同约定等之依据）。根据《辽宁省水利建设市场主体信用信息管理实施办法（试行）》</w:t>
      </w:r>
      <w:r>
        <w:rPr>
          <w:rFonts w:hint="eastAsia" w:ascii="仿宋_GB2312" w:hAnsi="仿宋" w:eastAsia="仿宋_GB2312"/>
          <w:sz w:val="32"/>
          <w:szCs w:val="32"/>
        </w:rPr>
        <w:t>第</w:t>
      </w:r>
      <w:r>
        <w:rPr>
          <w:rFonts w:hint="eastAsia" w:ascii="仿宋_GB2312" w:hAnsi="仿宋"/>
          <w:sz w:val="32"/>
          <w:szCs w:val="32"/>
          <w:highlight w:val="none"/>
          <w:lang w:val="en-US" w:eastAsia="zh-CN"/>
        </w:rPr>
        <w:t xml:space="preserve">   条</w:t>
      </w:r>
      <w:r>
        <w:rPr>
          <w:rFonts w:hint="eastAsia" w:ascii="仿宋_GB2312" w:hAnsi="仿宋" w:eastAsia="仿宋_GB2312"/>
          <w:sz w:val="32"/>
          <w:szCs w:val="32"/>
        </w:rPr>
        <w:t>的规定</w:t>
      </w:r>
      <w:r>
        <w:rPr>
          <w:rFonts w:hint="eastAsia" w:ascii="仿宋_GB2312" w:hAnsi="仿宋_GB2312" w:eastAsia="仿宋_GB2312"/>
          <w:sz w:val="32"/>
          <w:szCs w:val="32"/>
        </w:rPr>
        <w:t>和《辽宁省水利建设市场主体不良行为记录认定标准》</w:t>
      </w:r>
      <w:r>
        <w:rPr>
          <w:rFonts w:hint="eastAsia" w:ascii="仿宋_GB2312" w:hAnsi="仿宋" w:eastAsia="仿宋_GB2312"/>
          <w:sz w:val="32"/>
          <w:szCs w:val="32"/>
        </w:rPr>
        <w:t>附表  第  项</w:t>
      </w:r>
      <w:r>
        <w:rPr>
          <w:rFonts w:hint="eastAsia" w:ascii="仿宋_GB2312" w:hAnsi="仿宋_GB2312" w:eastAsia="仿宋_GB2312"/>
          <w:sz w:val="32"/>
          <w:szCs w:val="32"/>
        </w:rPr>
        <w:t>，本机关拟对你单位上述不良行为进行处理，并对你单位的信用动态分值扣  分。你单位有权在接到本告知书之日起5个工作日内向本机关提出陈述和申辩意见，逾期不提出的，视为放弃陈述和申辩的权利，本机关将依法作出处理。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特此告知。</w:t>
      </w:r>
    </w:p>
    <w:p>
      <w:pPr>
        <w:spacing w:line="560" w:lineRule="exact"/>
        <w:ind w:firstLine="3840" w:firstLineChars="1200"/>
        <w:rPr>
          <w:rFonts w:ascii="仿宋_GB2312" w:hAnsi="仿宋" w:eastAsia="仿宋_GB2312"/>
          <w:sz w:val="32"/>
          <w:szCs w:val="32"/>
        </w:rPr>
      </w:pPr>
      <w:r>
        <w:rPr>
          <w:rFonts w:hint="eastAsia" w:ascii="仿宋_GB2312" w:hAnsi="仿宋" w:eastAsia="仿宋_GB2312"/>
          <w:sz w:val="32"/>
          <w:szCs w:val="32"/>
        </w:rPr>
        <w:t>（水行政主管部门名称及印章）</w:t>
      </w:r>
    </w:p>
    <w:p>
      <w:pPr>
        <w:spacing w:line="560" w:lineRule="exact"/>
      </w:pPr>
      <w:r>
        <w:rPr>
          <w:rFonts w:hint="eastAsia" w:ascii="仿宋_GB2312" w:hAnsi="仿宋" w:eastAsia="仿宋_GB2312"/>
          <w:sz w:val="32"/>
          <w:szCs w:val="32"/>
        </w:rPr>
        <w:t xml:space="preserve">                                     年  月  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联系人：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联系地址：</w:t>
      </w:r>
    </w:p>
    <w:p>
      <w:pPr>
        <w:jc w:val="left"/>
        <w:rPr>
          <w:rFonts w:ascii="黑体" w:hAnsi="黑体" w:eastAsia="黑体" w:cs="Times New Roman"/>
          <w:sz w:val="32"/>
          <w:szCs w:val="32"/>
        </w:rPr>
      </w:pPr>
      <w:r>
        <w:rPr>
          <w:rFonts w:ascii="黑体" w:hAnsi="黑体" w:eastAsia="黑体" w:cs="Times New Roman"/>
          <w:sz w:val="32"/>
          <w:szCs w:val="32"/>
        </w:rPr>
        <w:br w:type="page"/>
      </w:r>
      <w:r>
        <w:rPr>
          <w:rFonts w:hint="eastAsia" w:ascii="黑体" w:hAnsi="黑体" w:eastAsia="黑体" w:cs="Times New Roman"/>
          <w:sz w:val="32"/>
          <w:szCs w:val="32"/>
        </w:rPr>
        <w:t>附件5</w:t>
      </w:r>
    </w:p>
    <w:p>
      <w:pPr>
        <w:spacing w:line="480" w:lineRule="exact"/>
        <w:ind w:firstLine="160" w:firstLineChars="5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辽宁省水利建设市场不良行为处理通知书</w:t>
      </w:r>
    </w:p>
    <w:p>
      <w:pPr>
        <w:spacing w:before="159" w:beforeLines="50" w:line="480" w:lineRule="exact"/>
        <w:jc w:val="center"/>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u w:val="single"/>
        </w:rPr>
        <w:t xml:space="preserve">    </w:t>
      </w:r>
      <w:r>
        <w:rPr>
          <w:rFonts w:hint="eastAsia" w:ascii="楷体_GB2312" w:eastAsia="楷体_GB2312"/>
          <w:sz w:val="32"/>
          <w:szCs w:val="32"/>
        </w:rPr>
        <w:t>不良处字</w:t>
      </w:r>
      <w:r>
        <w:rPr>
          <w:rFonts w:hint="eastAsia" w:ascii="楷体_GB2312" w:hAnsi="宋体"/>
          <w:sz w:val="32"/>
          <w:szCs w:val="32"/>
        </w:rPr>
        <w:t>﹝</w:t>
      </w:r>
      <w:r>
        <w:rPr>
          <w:rFonts w:hint="eastAsia" w:ascii="楷体_GB2312" w:hAnsi="宋体" w:eastAsia="楷体_GB2312"/>
          <w:sz w:val="32"/>
          <w:szCs w:val="32"/>
        </w:rPr>
        <w:t xml:space="preserve">  </w:t>
      </w:r>
      <w:r>
        <w:rPr>
          <w:rFonts w:hint="eastAsia" w:ascii="楷体_GB2312" w:hAnsi="宋体" w:eastAsia="宋体"/>
          <w:sz w:val="32"/>
          <w:szCs w:val="32"/>
        </w:rPr>
        <w:t>﹞</w:t>
      </w:r>
      <w:r>
        <w:rPr>
          <w:rFonts w:hint="eastAsia" w:ascii="楷体_GB2312" w:hAnsi="宋体" w:eastAsia="楷体_GB2312"/>
          <w:sz w:val="32"/>
          <w:szCs w:val="32"/>
          <w:u w:val="single"/>
        </w:rPr>
        <w:t xml:space="preserve">   </w:t>
      </w:r>
      <w:r>
        <w:rPr>
          <w:rFonts w:hint="eastAsia" w:ascii="楷体_GB2312" w:hAnsi="宋体" w:eastAsia="楷体_GB2312"/>
          <w:sz w:val="32"/>
          <w:szCs w:val="32"/>
        </w:rPr>
        <w:t>号</w:t>
      </w:r>
      <w:r>
        <w:rPr>
          <w:rFonts w:hint="eastAsia" w:ascii="楷体_GB2312" w:eastAsia="楷体_GB2312"/>
          <w:sz w:val="32"/>
          <w:szCs w:val="32"/>
        </w:rPr>
        <w:t>）</w:t>
      </w:r>
    </w:p>
    <w:p>
      <w:pPr>
        <w:spacing w:line="560" w:lineRule="exact"/>
        <w:ind w:right="640"/>
        <w:rPr>
          <w:rFonts w:ascii="仿宋_GB2312" w:hAnsi="仿宋" w:eastAsia="仿宋_GB2312"/>
          <w:sz w:val="32"/>
          <w:szCs w:val="32"/>
        </w:rPr>
      </w:pPr>
    </w:p>
    <w:p>
      <w:pPr>
        <w:spacing w:line="560" w:lineRule="exact"/>
        <w:ind w:right="640"/>
        <w:rPr>
          <w:rFonts w:ascii="仿宋_GB2312" w:hAnsi="宋体" w:eastAsia="仿宋_GB2312"/>
          <w:sz w:val="32"/>
          <w:szCs w:val="32"/>
        </w:rPr>
      </w:pPr>
      <w:r>
        <w:rPr>
          <w:rFonts w:hint="eastAsia" w:ascii="仿宋_GB2312" w:hAnsi="仿宋_GB2312" w:eastAsia="仿宋_GB2312"/>
          <w:sz w:val="32"/>
          <w:szCs w:val="32"/>
        </w:rPr>
        <w:t>水利建设市场主体名称（统一社会信用代码</w:t>
      </w:r>
      <w:r>
        <w:rPr>
          <w:rFonts w:hint="eastAsia" w:ascii="仿宋_GB2312" w:hAnsi="宋体" w:eastAsia="仿宋_GB2312"/>
          <w:sz w:val="32"/>
          <w:szCs w:val="32"/>
        </w:rPr>
        <w:t>）</w:t>
      </w:r>
      <w:r>
        <w:rPr>
          <w:rFonts w:hint="eastAsia" w:ascii="仿宋_GB2312"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经查明，</w:t>
      </w:r>
      <w:r>
        <w:rPr>
          <w:rFonts w:hint="eastAsia" w:ascii="仿宋_GB2312" w:hAnsi="仿宋_GB2312" w:eastAsia="仿宋_GB2312"/>
          <w:sz w:val="32"/>
          <w:szCs w:val="32"/>
        </w:rPr>
        <w:t>你单位（主要不良信用行为及其事实，包括时间、地点、基本情况、事件经过、危害后果等）</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证明上述事实的主要证据有：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本机关已于</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hint="eastAsia" w:ascii="仿宋_GB2312" w:hAnsi="仿宋" w:eastAsia="仿宋_GB2312"/>
          <w:sz w:val="32"/>
          <w:szCs w:val="32"/>
        </w:rPr>
        <w:t>月</w:t>
      </w:r>
      <w:r>
        <w:rPr>
          <w:rFonts w:hint="eastAsia" w:ascii="仿宋_GB2312" w:hAnsi="仿宋" w:eastAsia="仿宋_GB2312"/>
          <w:sz w:val="32"/>
          <w:szCs w:val="32"/>
          <w:u w:val="single"/>
        </w:rPr>
        <w:t xml:space="preserve">  </w:t>
      </w:r>
      <w:r>
        <w:rPr>
          <w:rFonts w:hint="eastAsia" w:ascii="仿宋_GB2312" w:hAnsi="仿宋" w:eastAsia="仿宋_GB2312"/>
          <w:sz w:val="32"/>
          <w:szCs w:val="32"/>
        </w:rPr>
        <w:t>日向你单位送达</w:t>
      </w:r>
      <w:r>
        <w:rPr>
          <w:rFonts w:hint="eastAsia" w:ascii="仿宋_GB2312" w:hAnsi="仿宋_GB2312" w:eastAsia="仿宋_GB2312"/>
          <w:sz w:val="32"/>
          <w:szCs w:val="32"/>
        </w:rPr>
        <w:t>《辽宁省水利建设市场主体不良行为认定告知书》</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不良告知﹝  ﹞</w:t>
      </w:r>
      <w:r>
        <w:rPr>
          <w:rFonts w:hint="eastAsia" w:ascii="仿宋_GB2312" w:eastAsia="仿宋_GB2312"/>
          <w:sz w:val="32"/>
          <w:szCs w:val="32"/>
          <w:u w:val="single"/>
        </w:rPr>
        <w:t xml:space="preserve">    </w:t>
      </w:r>
      <w:r>
        <w:rPr>
          <w:rFonts w:hint="eastAsia" w:ascii="仿宋_GB2312" w:eastAsia="仿宋_GB2312"/>
          <w:sz w:val="32"/>
          <w:szCs w:val="32"/>
        </w:rPr>
        <w:t>号）</w:t>
      </w:r>
      <w:r>
        <w:rPr>
          <w:rFonts w:hint="eastAsia" w:ascii="仿宋_GB2312" w:hAnsi="仿宋_GB2312" w:eastAsia="仿宋_GB2312"/>
          <w:sz w:val="32"/>
          <w:szCs w:val="32"/>
        </w:rPr>
        <w:t>。经</w:t>
      </w:r>
      <w:r>
        <w:rPr>
          <w:rFonts w:hint="eastAsia" w:ascii="仿宋_GB2312" w:hAnsi="仿宋" w:eastAsia="仿宋_GB2312"/>
          <w:sz w:val="32"/>
          <w:szCs w:val="32"/>
        </w:rPr>
        <w:t xml:space="preserve">依法告知，你单位未提出陈述、申辩意见（或列举陈述、申辩意见，已采纳意见，未被采纳的意见、理由和依据）。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你单位上述行为违反了（法律条款或合同约定等之依据），根据《</w:t>
      </w:r>
      <w:r>
        <w:rPr>
          <w:rFonts w:hint="eastAsia" w:ascii="仿宋_GB2312" w:hAnsi="仿宋_GB2312" w:eastAsia="仿宋_GB2312"/>
          <w:sz w:val="32"/>
          <w:szCs w:val="32"/>
        </w:rPr>
        <w:t>辽宁省水利建设市场主体信用信息管理实施办法（试行）</w:t>
      </w:r>
      <w:r>
        <w:rPr>
          <w:rFonts w:hint="eastAsia" w:ascii="仿宋_GB2312" w:hAnsi="仿宋" w:eastAsia="仿宋_GB2312"/>
          <w:sz w:val="32"/>
          <w:szCs w:val="32"/>
        </w:rPr>
        <w:t>》第</w:t>
      </w:r>
      <w:r>
        <w:rPr>
          <w:rFonts w:hint="eastAsia" w:ascii="仿宋_GB2312" w:hAnsi="仿宋"/>
          <w:sz w:val="32"/>
          <w:szCs w:val="32"/>
          <w:lang w:val="en-US" w:eastAsia="zh-CN"/>
        </w:rPr>
        <w:t xml:space="preserve">  条</w:t>
      </w:r>
      <w:r>
        <w:rPr>
          <w:rFonts w:hint="eastAsia" w:ascii="仿宋_GB2312" w:hAnsi="仿宋" w:eastAsia="仿宋_GB2312"/>
          <w:sz w:val="32"/>
          <w:szCs w:val="32"/>
        </w:rPr>
        <w:t>的规定和《</w:t>
      </w:r>
      <w:r>
        <w:rPr>
          <w:rFonts w:hint="eastAsia" w:ascii="仿宋_GB2312" w:hAnsi="仿宋_GB2312" w:eastAsia="仿宋_GB2312"/>
          <w:sz w:val="32"/>
          <w:szCs w:val="32"/>
        </w:rPr>
        <w:t>辽宁省水利建设市场主体不良行为记录认定标准</w:t>
      </w:r>
      <w:r>
        <w:rPr>
          <w:rFonts w:hint="eastAsia" w:ascii="仿宋_GB2312" w:hAnsi="仿宋" w:eastAsia="仿宋_GB2312"/>
          <w:sz w:val="32"/>
          <w:szCs w:val="32"/>
        </w:rPr>
        <w:t>》附表      第   项的规定，本机关作出如下处理：</w:t>
      </w:r>
    </w:p>
    <w:p>
      <w:pPr>
        <w:numPr>
          <w:ilvl w:val="0"/>
          <w:numId w:val="0"/>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你单位上述行为构成（等级）不良行为；对你单位的信用动态分值扣    分，扣分有效期为    个月。</w:t>
      </w:r>
    </w:p>
    <w:p>
      <w:pPr>
        <w:spacing w:line="560" w:lineRule="exact"/>
        <w:rPr>
          <w:rFonts w:ascii="仿宋_GB2312" w:hAnsi="仿宋" w:eastAsia="仿宋_GB2312"/>
          <w:sz w:val="32"/>
          <w:szCs w:val="32"/>
        </w:rPr>
      </w:pPr>
    </w:p>
    <w:p>
      <w:pPr>
        <w:spacing w:line="560" w:lineRule="exact"/>
        <w:ind w:firstLine="3840" w:firstLineChars="1200"/>
        <w:rPr>
          <w:rFonts w:ascii="仿宋_GB2312" w:hAnsi="仿宋" w:eastAsia="仿宋_GB2312"/>
          <w:sz w:val="32"/>
          <w:szCs w:val="32"/>
        </w:rPr>
      </w:pPr>
      <w:r>
        <w:rPr>
          <w:rFonts w:hint="eastAsia" w:ascii="仿宋_GB2312" w:hAnsi="仿宋" w:eastAsia="仿宋_GB2312"/>
          <w:sz w:val="32"/>
          <w:szCs w:val="32"/>
        </w:rPr>
        <w:t>（水行政主管部门名称及印章）</w:t>
      </w:r>
    </w:p>
    <w:p>
      <w:pPr>
        <w:spacing w:line="560" w:lineRule="exact"/>
      </w:pPr>
      <w:r>
        <w:rPr>
          <w:rFonts w:hint="eastAsia" w:ascii="仿宋_GB2312" w:hAnsi="仿宋" w:eastAsia="仿宋_GB2312"/>
          <w:sz w:val="32"/>
          <w:szCs w:val="32"/>
        </w:rPr>
        <w:t xml:space="preserve">                                     年  月  日</w:t>
      </w:r>
    </w:p>
    <w:p>
      <w:pPr>
        <w:widowControl/>
        <w:jc w:val="left"/>
        <w:rPr>
          <w:rFonts w:ascii="黑体" w:hAnsi="黑体" w:eastAsia="黑体" w:cs="Times New Roman"/>
          <w:sz w:val="32"/>
          <w:szCs w:val="32"/>
        </w:rPr>
      </w:pPr>
      <w:r>
        <w:rPr>
          <w:rFonts w:ascii="黑体" w:hAnsi="黑体" w:eastAsia="黑体" w:cs="Times New Roman"/>
          <w:sz w:val="32"/>
          <w:szCs w:val="32"/>
        </w:rPr>
        <w:br w:type="page"/>
      </w:r>
      <w:r>
        <w:rPr>
          <w:rFonts w:hint="eastAsia" w:ascii="黑体" w:hAnsi="黑体" w:eastAsia="黑体" w:cs="Times New Roman"/>
          <w:sz w:val="32"/>
          <w:szCs w:val="32"/>
        </w:rPr>
        <w:t>附件6</w:t>
      </w:r>
    </w:p>
    <w:p>
      <w:pPr>
        <w:spacing w:line="480" w:lineRule="exact"/>
        <w:ind w:firstLine="160" w:firstLineChars="5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辽宁省水利建设市场主体行为不予处理通知书</w:t>
      </w:r>
    </w:p>
    <w:p>
      <w:pPr>
        <w:spacing w:before="159" w:beforeLines="50" w:line="480" w:lineRule="exact"/>
        <w:jc w:val="center"/>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u w:val="single"/>
        </w:rPr>
        <w:t xml:space="preserve">    </w:t>
      </w:r>
      <w:r>
        <w:rPr>
          <w:rFonts w:hint="eastAsia" w:ascii="楷体_GB2312" w:eastAsia="楷体_GB2312"/>
          <w:sz w:val="32"/>
          <w:szCs w:val="32"/>
        </w:rPr>
        <w:t>不良结字</w:t>
      </w:r>
      <w:r>
        <w:rPr>
          <w:rFonts w:hint="eastAsia" w:ascii="楷体_GB2312" w:hAnsi="宋体"/>
          <w:sz w:val="32"/>
          <w:szCs w:val="32"/>
        </w:rPr>
        <w:t>﹝</w:t>
      </w:r>
      <w:r>
        <w:rPr>
          <w:rFonts w:hint="eastAsia" w:ascii="楷体_GB2312" w:hAnsi="宋体" w:eastAsia="楷体_GB2312"/>
          <w:sz w:val="32"/>
          <w:szCs w:val="32"/>
        </w:rPr>
        <w:t xml:space="preserve">  </w:t>
      </w:r>
      <w:r>
        <w:rPr>
          <w:rFonts w:hint="eastAsia" w:ascii="楷体_GB2312" w:hAnsi="宋体" w:eastAsia="宋体"/>
          <w:sz w:val="32"/>
          <w:szCs w:val="32"/>
        </w:rPr>
        <w:t>﹞</w:t>
      </w:r>
      <w:r>
        <w:rPr>
          <w:rFonts w:hint="eastAsia" w:ascii="楷体_GB2312" w:hAnsi="宋体" w:eastAsia="楷体_GB2312"/>
          <w:sz w:val="32"/>
          <w:szCs w:val="32"/>
          <w:u w:val="single"/>
        </w:rPr>
        <w:t xml:space="preserve">   </w:t>
      </w:r>
      <w:r>
        <w:rPr>
          <w:rFonts w:hint="eastAsia" w:ascii="楷体_GB2312" w:hAnsi="宋体" w:eastAsia="楷体_GB2312"/>
          <w:sz w:val="32"/>
          <w:szCs w:val="32"/>
        </w:rPr>
        <w:t>号</w:t>
      </w:r>
      <w:r>
        <w:rPr>
          <w:rFonts w:hint="eastAsia" w:ascii="楷体_GB2312" w:eastAsia="楷体_GB2312"/>
          <w:sz w:val="32"/>
          <w:szCs w:val="32"/>
        </w:rPr>
        <w:t>）</w:t>
      </w:r>
    </w:p>
    <w:p>
      <w:pPr>
        <w:spacing w:line="560" w:lineRule="exact"/>
        <w:jc w:val="right"/>
        <w:rPr>
          <w:rFonts w:ascii="仿宋_GB2312" w:hAnsi="仿宋" w:eastAsia="仿宋_GB2312"/>
          <w:sz w:val="32"/>
          <w:szCs w:val="32"/>
        </w:rPr>
      </w:pPr>
    </w:p>
    <w:p>
      <w:pPr>
        <w:spacing w:line="560" w:lineRule="exact"/>
        <w:rPr>
          <w:rFonts w:ascii="仿宋_GB2312" w:hAnsi="宋体" w:eastAsia="仿宋_GB2312"/>
          <w:sz w:val="32"/>
          <w:szCs w:val="32"/>
        </w:rPr>
      </w:pPr>
      <w:r>
        <w:rPr>
          <w:rFonts w:hint="eastAsia" w:ascii="仿宋_GB2312" w:hAnsi="仿宋_GB2312" w:eastAsia="仿宋_GB2312"/>
          <w:sz w:val="32"/>
          <w:szCs w:val="32"/>
        </w:rPr>
        <w:t>水利建设市场主体名称（统一社会信用代码</w:t>
      </w:r>
      <w:r>
        <w:rPr>
          <w:rFonts w:hint="eastAsia" w:ascii="仿宋_GB2312" w:hAnsi="宋体" w:eastAsia="仿宋_GB2312"/>
          <w:sz w:val="32"/>
          <w:szCs w:val="32"/>
        </w:rPr>
        <w:t>）</w:t>
      </w:r>
      <w:r>
        <w:rPr>
          <w:rFonts w:hint="eastAsia" w:ascii="仿宋_GB2312" w:eastAsia="仿宋_GB2312"/>
          <w:sz w:val="32"/>
          <w:szCs w:val="32"/>
        </w:rPr>
        <w:t>：</w:t>
      </w:r>
    </w:p>
    <w:p>
      <w:pPr>
        <w:spacing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你单位</w:t>
      </w:r>
      <w:r>
        <w:rPr>
          <w:rFonts w:hint="eastAsia" w:ascii="仿宋_GB2312" w:hAnsi="仿宋_GB2312" w:eastAsia="仿宋_GB2312"/>
          <w:sz w:val="32"/>
          <w:szCs w:val="32"/>
        </w:rPr>
        <w:t>（主要不良信用行为及其事实，包括时间、地点、基本情况、事件经过、危害后果等）</w:t>
      </w:r>
      <w:r>
        <w:rPr>
          <w:rFonts w:hint="eastAsia" w:ascii="仿宋_GB2312" w:hAnsi="仿宋" w:eastAsia="仿宋_GB2312"/>
          <w:color w:val="000000"/>
          <w:sz w:val="32"/>
          <w:szCs w:val="32"/>
        </w:rPr>
        <w:t>，涉嫌违反了（法律条款或合同约定等之依据），</w:t>
      </w:r>
      <w:r>
        <w:rPr>
          <w:rFonts w:hint="eastAsia" w:ascii="仿宋_GB2312" w:hAnsi="仿宋_GB2312" w:eastAsia="仿宋_GB2312"/>
          <w:sz w:val="32"/>
          <w:szCs w:val="32"/>
        </w:rPr>
        <w:t>根据《辽宁省水利建设市场主体信用信息管理实施办法（试行）》</w:t>
      </w:r>
      <w:r>
        <w:rPr>
          <w:rFonts w:hint="eastAsia" w:ascii="仿宋_GB2312" w:hAnsi="仿宋" w:eastAsia="仿宋_GB2312"/>
          <w:sz w:val="32"/>
          <w:szCs w:val="32"/>
        </w:rPr>
        <w:t>第二十二条的规定</w:t>
      </w:r>
      <w:r>
        <w:rPr>
          <w:rFonts w:hint="eastAsia" w:ascii="仿宋_GB2312" w:hAnsi="仿宋_GB2312" w:eastAsia="仿宋_GB2312"/>
          <w:sz w:val="32"/>
          <w:szCs w:val="32"/>
        </w:rPr>
        <w:t>，</w:t>
      </w:r>
      <w:r>
        <w:rPr>
          <w:rFonts w:hint="eastAsia" w:ascii="仿宋_GB2312" w:hAnsi="仿宋" w:eastAsia="仿宋_GB2312"/>
          <w:sz w:val="32"/>
          <w:szCs w:val="32"/>
        </w:rPr>
        <w:t>于</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hint="eastAsia" w:ascii="仿宋_GB2312" w:hAnsi="仿宋" w:eastAsia="仿宋_GB2312"/>
          <w:sz w:val="32"/>
          <w:szCs w:val="32"/>
        </w:rPr>
        <w:t>月</w:t>
      </w:r>
      <w:r>
        <w:rPr>
          <w:rFonts w:hint="eastAsia" w:ascii="仿宋_GB2312" w:hAnsi="仿宋" w:eastAsia="仿宋_GB2312"/>
          <w:sz w:val="32"/>
          <w:szCs w:val="32"/>
          <w:u w:val="single"/>
        </w:rPr>
        <w:t xml:space="preserve">  </w:t>
      </w:r>
      <w:r>
        <w:rPr>
          <w:rFonts w:hint="eastAsia" w:ascii="仿宋_GB2312" w:hAnsi="仿宋" w:eastAsia="仿宋_GB2312"/>
          <w:sz w:val="32"/>
          <w:szCs w:val="32"/>
        </w:rPr>
        <w:t>日向你单位送达</w:t>
      </w:r>
      <w:r>
        <w:rPr>
          <w:rFonts w:hint="eastAsia" w:ascii="仿宋_GB2312" w:hAnsi="仿宋_GB2312" w:eastAsia="仿宋_GB2312"/>
          <w:sz w:val="32"/>
          <w:szCs w:val="32"/>
        </w:rPr>
        <w:t>《辽宁省水利建设市场主体不良行为认定告知书》</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不良告知</w:t>
      </w:r>
      <w:r>
        <w:rPr>
          <w:rFonts w:hint="eastAsia" w:ascii="仿宋_GB2312" w:hAnsi="宋体"/>
          <w:sz w:val="32"/>
          <w:szCs w:val="32"/>
        </w:rPr>
        <w:t>﹝</w:t>
      </w:r>
      <w:r>
        <w:rPr>
          <w:rFonts w:hint="eastAsia" w:ascii="仿宋_GB2312" w:hAnsi="宋体" w:eastAsia="仿宋_GB2312"/>
          <w:sz w:val="32"/>
          <w:szCs w:val="32"/>
        </w:rPr>
        <w:t xml:space="preserve">  </w:t>
      </w:r>
      <w:r>
        <w:rPr>
          <w:rFonts w:hint="eastAsia" w:ascii="仿宋_GB2312" w:hAnsi="宋体" w:eastAsia="宋体"/>
          <w:sz w:val="32"/>
          <w:szCs w:val="32"/>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号</w:t>
      </w:r>
      <w:r>
        <w:rPr>
          <w:rFonts w:hint="eastAsia" w:ascii="仿宋_GB2312" w:eastAsia="仿宋_GB2312"/>
          <w:sz w:val="32"/>
          <w:szCs w:val="32"/>
        </w:rPr>
        <w:t>）</w:t>
      </w:r>
      <w:r>
        <w:rPr>
          <w:rFonts w:hint="eastAsia" w:ascii="仿宋_GB2312" w:hAnsi="仿宋_GB2312" w:eastAsia="仿宋_GB2312"/>
          <w:sz w:val="32"/>
          <w:szCs w:val="32"/>
        </w:rPr>
        <w:t>。</w:t>
      </w:r>
    </w:p>
    <w:p>
      <w:pPr>
        <w:spacing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经依法告知，你单位提出陈述、申辩意见。（列举陈述、申辩意见，已采纳意见，本机关对你的陈述、申辩意见予以采纳。） </w:t>
      </w:r>
    </w:p>
    <w:p>
      <w:pPr>
        <w:spacing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经查明，你单位上述行为不构成《</w:t>
      </w:r>
      <w:r>
        <w:rPr>
          <w:rFonts w:hint="eastAsia" w:ascii="仿宋_GB2312" w:hAnsi="仿宋_GB2312" w:eastAsia="仿宋_GB2312"/>
          <w:sz w:val="32"/>
          <w:szCs w:val="32"/>
        </w:rPr>
        <w:t>辽宁省水利建设市场主体信用信息管理实施办法（试行）</w:t>
      </w:r>
      <w:r>
        <w:rPr>
          <w:rFonts w:hint="eastAsia" w:ascii="仿宋_GB2312" w:hAnsi="仿宋" w:eastAsia="仿宋_GB2312"/>
          <w:color w:val="000000"/>
          <w:sz w:val="32"/>
          <w:szCs w:val="32"/>
        </w:rPr>
        <w:t>》规定的不良信用行为，本机关不予处理。</w:t>
      </w:r>
    </w:p>
    <w:p>
      <w:pPr>
        <w:spacing w:line="520" w:lineRule="exact"/>
        <w:rPr>
          <w:rFonts w:ascii="仿宋_GB2312" w:hAnsi="仿宋" w:eastAsia="仿宋_GB2312"/>
          <w:color w:val="000000"/>
          <w:sz w:val="32"/>
          <w:szCs w:val="32"/>
        </w:rPr>
      </w:pPr>
    </w:p>
    <w:p>
      <w:pPr>
        <w:spacing w:line="520" w:lineRule="exact"/>
        <w:ind w:firstLine="3840" w:firstLineChars="1200"/>
        <w:rPr>
          <w:rFonts w:ascii="仿宋_GB2312" w:hAnsi="仿宋" w:eastAsia="仿宋_GB2312"/>
          <w:color w:val="000000"/>
          <w:sz w:val="32"/>
          <w:szCs w:val="32"/>
        </w:rPr>
      </w:pPr>
      <w:r>
        <w:rPr>
          <w:rFonts w:hint="eastAsia" w:ascii="仿宋_GB2312" w:hAnsi="仿宋" w:eastAsia="仿宋_GB2312"/>
          <w:color w:val="000000"/>
          <w:sz w:val="32"/>
          <w:szCs w:val="32"/>
        </w:rPr>
        <w:t>（水行政主管部门名称及印章）</w:t>
      </w:r>
    </w:p>
    <w:p>
      <w:pPr>
        <w:spacing w:line="52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年  月  日</w:t>
      </w:r>
    </w:p>
    <w:p>
      <w:pPr>
        <w:jc w:val="left"/>
        <w:rPr>
          <w:rFonts w:ascii="仿宋_GB2312" w:hAnsi="Times New Roman" w:eastAsia="仿宋_GB2312" w:cs="Times New Roman"/>
          <w:sz w:val="32"/>
          <w:szCs w:val="32"/>
        </w:rPr>
      </w:pPr>
    </w:p>
    <w:p>
      <w:pPr>
        <w:widowControl/>
        <w:jc w:val="left"/>
        <w:rPr>
          <w:rFonts w:ascii="黑体" w:hAnsi="黑体" w:eastAsia="黑体" w:cs="Times New Roman"/>
          <w:sz w:val="32"/>
          <w:szCs w:val="32"/>
        </w:rPr>
      </w:pPr>
      <w:r>
        <w:rPr>
          <w:rFonts w:ascii="黑体" w:hAnsi="黑体" w:eastAsia="黑体" w:cs="Times New Roman"/>
          <w:sz w:val="32"/>
          <w:szCs w:val="32"/>
        </w:rPr>
        <w:br w:type="page"/>
      </w:r>
      <w:r>
        <w:rPr>
          <w:rFonts w:hint="eastAsia" w:ascii="黑体" w:hAnsi="黑体" w:eastAsia="黑体" w:cs="Times New Roman"/>
          <w:sz w:val="32"/>
          <w:szCs w:val="32"/>
        </w:rPr>
        <w:t>附件7</w:t>
      </w:r>
    </w:p>
    <w:p>
      <w:pPr>
        <w:spacing w:line="480" w:lineRule="exact"/>
        <w:ind w:firstLine="160" w:firstLineChars="5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辽宁省水利建设市场主体不良行为信息统计表</w:t>
      </w:r>
    </w:p>
    <w:p>
      <w:pPr>
        <w:spacing w:line="360" w:lineRule="auto"/>
        <w:ind w:right="640"/>
        <w:rPr>
          <w:rFonts w:hint="eastAsia" w:ascii="方正小标宋简体" w:hAnsi="方正小标宋简体" w:eastAsia="方正小标宋简体" w:cs="方正小标宋简体"/>
          <w:sz w:val="28"/>
          <w:szCs w:val="28"/>
        </w:rPr>
      </w:pPr>
    </w:p>
    <w:p>
      <w:pPr>
        <w:spacing w:line="360" w:lineRule="auto"/>
        <w:jc w:val="left"/>
        <w:rPr>
          <w:rFonts w:ascii="宋体" w:hAnsi="宋体" w:eastAsia="宋体"/>
          <w:sz w:val="21"/>
          <w:szCs w:val="21"/>
        </w:rPr>
      </w:pPr>
      <w:r>
        <w:rPr>
          <w:rFonts w:hint="eastAsia" w:ascii="宋体" w:hAnsi="宋体" w:eastAsia="宋体"/>
          <w:sz w:val="21"/>
          <w:szCs w:val="21"/>
        </w:rPr>
        <w:t>填报单位（盖章）：                                         填报日期：  年  月  日</w:t>
      </w:r>
    </w:p>
    <w:tbl>
      <w:tblPr>
        <w:tblStyle w:val="7"/>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957"/>
        <w:gridCol w:w="942"/>
        <w:gridCol w:w="901"/>
        <w:gridCol w:w="707"/>
        <w:gridCol w:w="705"/>
        <w:gridCol w:w="727"/>
        <w:gridCol w:w="696"/>
        <w:gridCol w:w="909"/>
        <w:gridCol w:w="685"/>
        <w:gridCol w:w="839"/>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3" w:type="dxa"/>
            <w:vAlign w:val="center"/>
          </w:tcPr>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957" w:type="dxa"/>
            <w:vAlign w:val="center"/>
          </w:tcPr>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单位</w:t>
            </w:r>
          </w:p>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942" w:type="dxa"/>
            <w:vAlign w:val="center"/>
          </w:tcPr>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统一社会信用代码</w:t>
            </w:r>
          </w:p>
        </w:tc>
        <w:tc>
          <w:tcPr>
            <w:tcW w:w="901" w:type="dxa"/>
            <w:vAlign w:val="center"/>
          </w:tcPr>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工程</w:t>
            </w:r>
          </w:p>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项目</w:t>
            </w:r>
          </w:p>
        </w:tc>
        <w:tc>
          <w:tcPr>
            <w:tcW w:w="707" w:type="dxa"/>
            <w:vAlign w:val="center"/>
          </w:tcPr>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承担</w:t>
            </w:r>
          </w:p>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工作</w:t>
            </w:r>
          </w:p>
        </w:tc>
        <w:tc>
          <w:tcPr>
            <w:tcW w:w="705" w:type="dxa"/>
            <w:vAlign w:val="center"/>
          </w:tcPr>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不良行为</w:t>
            </w:r>
          </w:p>
        </w:tc>
        <w:tc>
          <w:tcPr>
            <w:tcW w:w="727" w:type="dxa"/>
            <w:vAlign w:val="center"/>
          </w:tcPr>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处理决定</w:t>
            </w:r>
          </w:p>
        </w:tc>
        <w:tc>
          <w:tcPr>
            <w:tcW w:w="696" w:type="dxa"/>
            <w:vAlign w:val="center"/>
          </w:tcPr>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扣分</w:t>
            </w:r>
          </w:p>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分值</w:t>
            </w:r>
          </w:p>
        </w:tc>
        <w:tc>
          <w:tcPr>
            <w:tcW w:w="909" w:type="dxa"/>
            <w:vAlign w:val="center"/>
          </w:tcPr>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处理</w:t>
            </w:r>
          </w:p>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依据</w:t>
            </w:r>
          </w:p>
        </w:tc>
        <w:tc>
          <w:tcPr>
            <w:tcW w:w="685" w:type="dxa"/>
            <w:vAlign w:val="center"/>
          </w:tcPr>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处理</w:t>
            </w:r>
          </w:p>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时间</w:t>
            </w:r>
          </w:p>
        </w:tc>
        <w:tc>
          <w:tcPr>
            <w:tcW w:w="839" w:type="dxa"/>
            <w:vAlign w:val="center"/>
          </w:tcPr>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公开</w:t>
            </w:r>
          </w:p>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期限</w:t>
            </w:r>
          </w:p>
        </w:tc>
        <w:tc>
          <w:tcPr>
            <w:tcW w:w="685" w:type="dxa"/>
            <w:vAlign w:val="center"/>
          </w:tcPr>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处理</w:t>
            </w:r>
          </w:p>
          <w:p>
            <w:pPr>
              <w:snapToGrid w:val="0"/>
              <w:spacing w:line="240" w:lineRule="auto"/>
              <w:jc w:val="center"/>
              <w:rPr>
                <w:rFonts w:ascii="宋体" w:hAnsi="宋体" w:eastAsia="宋体" w:cs="宋体"/>
                <w:b/>
                <w:bCs/>
                <w:sz w:val="21"/>
                <w:szCs w:val="21"/>
              </w:rPr>
            </w:pPr>
            <w:r>
              <w:rPr>
                <w:rFonts w:hint="eastAsia" w:ascii="宋体" w:hAnsi="宋体" w:eastAsia="宋体" w:cs="宋体"/>
                <w:b/>
                <w:bCs/>
                <w:sz w:val="21"/>
                <w:szCs w:val="21"/>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03" w:type="dxa"/>
            <w:vAlign w:val="center"/>
          </w:tcPr>
          <w:p>
            <w:pPr>
              <w:snapToGrid w:val="0"/>
              <w:spacing w:line="240" w:lineRule="auto"/>
              <w:jc w:val="center"/>
              <w:rPr>
                <w:rFonts w:ascii="宋体" w:hAnsi="宋体" w:eastAsia="宋体" w:cs="宋体"/>
                <w:sz w:val="21"/>
                <w:szCs w:val="21"/>
              </w:rPr>
            </w:pPr>
          </w:p>
        </w:tc>
        <w:tc>
          <w:tcPr>
            <w:tcW w:w="957" w:type="dxa"/>
            <w:vAlign w:val="center"/>
          </w:tcPr>
          <w:p>
            <w:pPr>
              <w:snapToGrid w:val="0"/>
              <w:spacing w:line="240" w:lineRule="auto"/>
              <w:jc w:val="center"/>
              <w:rPr>
                <w:rFonts w:ascii="宋体" w:hAnsi="宋体" w:eastAsia="宋体" w:cs="宋体"/>
                <w:sz w:val="21"/>
                <w:szCs w:val="21"/>
              </w:rPr>
            </w:pPr>
          </w:p>
        </w:tc>
        <w:tc>
          <w:tcPr>
            <w:tcW w:w="942" w:type="dxa"/>
            <w:vAlign w:val="center"/>
          </w:tcPr>
          <w:p>
            <w:pPr>
              <w:snapToGrid w:val="0"/>
              <w:spacing w:line="240" w:lineRule="auto"/>
              <w:jc w:val="center"/>
              <w:rPr>
                <w:rFonts w:ascii="宋体" w:hAnsi="宋体" w:eastAsia="宋体" w:cs="宋体"/>
                <w:sz w:val="21"/>
                <w:szCs w:val="21"/>
              </w:rPr>
            </w:pPr>
          </w:p>
        </w:tc>
        <w:tc>
          <w:tcPr>
            <w:tcW w:w="901" w:type="dxa"/>
            <w:vAlign w:val="center"/>
          </w:tcPr>
          <w:p>
            <w:pPr>
              <w:snapToGrid w:val="0"/>
              <w:spacing w:line="240" w:lineRule="auto"/>
              <w:jc w:val="center"/>
              <w:rPr>
                <w:rFonts w:ascii="宋体" w:hAnsi="宋体" w:eastAsia="宋体" w:cs="宋体"/>
                <w:sz w:val="21"/>
                <w:szCs w:val="21"/>
              </w:rPr>
            </w:pPr>
          </w:p>
        </w:tc>
        <w:tc>
          <w:tcPr>
            <w:tcW w:w="707" w:type="dxa"/>
            <w:vAlign w:val="center"/>
          </w:tcPr>
          <w:p>
            <w:pPr>
              <w:snapToGrid w:val="0"/>
              <w:spacing w:line="240" w:lineRule="auto"/>
              <w:jc w:val="center"/>
              <w:rPr>
                <w:rFonts w:ascii="宋体" w:hAnsi="宋体" w:eastAsia="宋体" w:cs="宋体"/>
                <w:sz w:val="21"/>
                <w:szCs w:val="21"/>
              </w:rPr>
            </w:pPr>
          </w:p>
        </w:tc>
        <w:tc>
          <w:tcPr>
            <w:tcW w:w="705" w:type="dxa"/>
            <w:vAlign w:val="center"/>
          </w:tcPr>
          <w:p>
            <w:pPr>
              <w:snapToGrid w:val="0"/>
              <w:spacing w:line="240" w:lineRule="auto"/>
              <w:jc w:val="center"/>
              <w:rPr>
                <w:rFonts w:ascii="宋体" w:hAnsi="宋体" w:eastAsia="宋体" w:cs="宋体"/>
                <w:sz w:val="21"/>
                <w:szCs w:val="21"/>
              </w:rPr>
            </w:pPr>
          </w:p>
        </w:tc>
        <w:tc>
          <w:tcPr>
            <w:tcW w:w="727" w:type="dxa"/>
            <w:vAlign w:val="center"/>
          </w:tcPr>
          <w:p>
            <w:pPr>
              <w:snapToGrid w:val="0"/>
              <w:spacing w:line="240" w:lineRule="auto"/>
              <w:jc w:val="center"/>
              <w:rPr>
                <w:rFonts w:ascii="宋体" w:hAnsi="宋体" w:eastAsia="宋体" w:cs="宋体"/>
                <w:sz w:val="21"/>
                <w:szCs w:val="21"/>
              </w:rPr>
            </w:pPr>
          </w:p>
        </w:tc>
        <w:tc>
          <w:tcPr>
            <w:tcW w:w="696" w:type="dxa"/>
            <w:vAlign w:val="center"/>
          </w:tcPr>
          <w:p>
            <w:pPr>
              <w:snapToGrid w:val="0"/>
              <w:spacing w:line="240" w:lineRule="auto"/>
              <w:jc w:val="center"/>
              <w:rPr>
                <w:rFonts w:ascii="宋体" w:hAnsi="宋体" w:eastAsia="宋体" w:cs="宋体"/>
                <w:sz w:val="21"/>
                <w:szCs w:val="21"/>
              </w:rPr>
            </w:pPr>
          </w:p>
        </w:tc>
        <w:tc>
          <w:tcPr>
            <w:tcW w:w="909" w:type="dxa"/>
            <w:vAlign w:val="center"/>
          </w:tcPr>
          <w:p>
            <w:pPr>
              <w:snapToGrid w:val="0"/>
              <w:spacing w:line="240" w:lineRule="auto"/>
              <w:jc w:val="center"/>
              <w:rPr>
                <w:rFonts w:ascii="宋体" w:hAnsi="宋体" w:eastAsia="宋体" w:cs="宋体"/>
                <w:sz w:val="21"/>
                <w:szCs w:val="21"/>
              </w:rPr>
            </w:pPr>
          </w:p>
        </w:tc>
        <w:tc>
          <w:tcPr>
            <w:tcW w:w="685" w:type="dxa"/>
            <w:vAlign w:val="center"/>
          </w:tcPr>
          <w:p>
            <w:pPr>
              <w:snapToGrid w:val="0"/>
              <w:spacing w:line="240" w:lineRule="auto"/>
              <w:jc w:val="center"/>
              <w:rPr>
                <w:rFonts w:ascii="宋体" w:hAnsi="宋体" w:eastAsia="宋体" w:cs="宋体"/>
                <w:sz w:val="21"/>
                <w:szCs w:val="21"/>
              </w:rPr>
            </w:pPr>
          </w:p>
        </w:tc>
        <w:tc>
          <w:tcPr>
            <w:tcW w:w="839" w:type="dxa"/>
            <w:vAlign w:val="center"/>
          </w:tcPr>
          <w:p>
            <w:pPr>
              <w:snapToGrid w:val="0"/>
              <w:spacing w:line="240" w:lineRule="auto"/>
              <w:jc w:val="center"/>
              <w:rPr>
                <w:rFonts w:ascii="宋体" w:hAnsi="宋体" w:eastAsia="宋体" w:cs="宋体"/>
                <w:sz w:val="21"/>
                <w:szCs w:val="21"/>
              </w:rPr>
            </w:pPr>
          </w:p>
        </w:tc>
        <w:tc>
          <w:tcPr>
            <w:tcW w:w="685" w:type="dxa"/>
            <w:vAlign w:val="center"/>
          </w:tcPr>
          <w:p>
            <w:pPr>
              <w:snapToGrid w:val="0"/>
              <w:spacing w:line="240" w:lineRule="auto"/>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03" w:type="dxa"/>
            <w:vAlign w:val="center"/>
          </w:tcPr>
          <w:p>
            <w:pPr>
              <w:snapToGrid w:val="0"/>
              <w:spacing w:line="240" w:lineRule="auto"/>
              <w:jc w:val="center"/>
              <w:rPr>
                <w:rFonts w:ascii="宋体" w:hAnsi="宋体" w:eastAsia="宋体" w:cs="宋体"/>
                <w:sz w:val="21"/>
                <w:szCs w:val="21"/>
              </w:rPr>
            </w:pPr>
          </w:p>
        </w:tc>
        <w:tc>
          <w:tcPr>
            <w:tcW w:w="957" w:type="dxa"/>
            <w:vAlign w:val="center"/>
          </w:tcPr>
          <w:p>
            <w:pPr>
              <w:snapToGrid w:val="0"/>
              <w:spacing w:line="240" w:lineRule="auto"/>
              <w:jc w:val="center"/>
              <w:rPr>
                <w:rFonts w:ascii="宋体" w:hAnsi="宋体" w:eastAsia="宋体" w:cs="宋体"/>
                <w:sz w:val="21"/>
                <w:szCs w:val="21"/>
              </w:rPr>
            </w:pPr>
          </w:p>
        </w:tc>
        <w:tc>
          <w:tcPr>
            <w:tcW w:w="942" w:type="dxa"/>
            <w:vAlign w:val="center"/>
          </w:tcPr>
          <w:p>
            <w:pPr>
              <w:snapToGrid w:val="0"/>
              <w:spacing w:line="240" w:lineRule="auto"/>
              <w:jc w:val="center"/>
              <w:rPr>
                <w:rFonts w:ascii="宋体" w:hAnsi="宋体" w:eastAsia="宋体" w:cs="宋体"/>
                <w:sz w:val="21"/>
                <w:szCs w:val="21"/>
              </w:rPr>
            </w:pPr>
          </w:p>
        </w:tc>
        <w:tc>
          <w:tcPr>
            <w:tcW w:w="901" w:type="dxa"/>
            <w:vAlign w:val="center"/>
          </w:tcPr>
          <w:p>
            <w:pPr>
              <w:snapToGrid w:val="0"/>
              <w:spacing w:line="240" w:lineRule="auto"/>
              <w:jc w:val="center"/>
              <w:rPr>
                <w:rFonts w:ascii="宋体" w:hAnsi="宋体" w:eastAsia="宋体" w:cs="宋体"/>
                <w:sz w:val="21"/>
                <w:szCs w:val="21"/>
              </w:rPr>
            </w:pPr>
          </w:p>
        </w:tc>
        <w:tc>
          <w:tcPr>
            <w:tcW w:w="707" w:type="dxa"/>
            <w:vAlign w:val="center"/>
          </w:tcPr>
          <w:p>
            <w:pPr>
              <w:snapToGrid w:val="0"/>
              <w:spacing w:line="240" w:lineRule="auto"/>
              <w:jc w:val="center"/>
              <w:rPr>
                <w:rFonts w:ascii="宋体" w:hAnsi="宋体" w:eastAsia="宋体" w:cs="宋体"/>
                <w:sz w:val="21"/>
                <w:szCs w:val="21"/>
              </w:rPr>
            </w:pPr>
          </w:p>
        </w:tc>
        <w:tc>
          <w:tcPr>
            <w:tcW w:w="705" w:type="dxa"/>
            <w:vAlign w:val="center"/>
          </w:tcPr>
          <w:p>
            <w:pPr>
              <w:snapToGrid w:val="0"/>
              <w:spacing w:line="240" w:lineRule="auto"/>
              <w:jc w:val="center"/>
              <w:rPr>
                <w:rFonts w:ascii="宋体" w:hAnsi="宋体" w:eastAsia="宋体" w:cs="宋体"/>
                <w:sz w:val="21"/>
                <w:szCs w:val="21"/>
              </w:rPr>
            </w:pPr>
          </w:p>
        </w:tc>
        <w:tc>
          <w:tcPr>
            <w:tcW w:w="727" w:type="dxa"/>
            <w:vAlign w:val="center"/>
          </w:tcPr>
          <w:p>
            <w:pPr>
              <w:snapToGrid w:val="0"/>
              <w:spacing w:line="240" w:lineRule="auto"/>
              <w:jc w:val="center"/>
              <w:rPr>
                <w:rFonts w:ascii="宋体" w:hAnsi="宋体" w:eastAsia="宋体" w:cs="宋体"/>
                <w:sz w:val="21"/>
                <w:szCs w:val="21"/>
              </w:rPr>
            </w:pPr>
          </w:p>
        </w:tc>
        <w:tc>
          <w:tcPr>
            <w:tcW w:w="696" w:type="dxa"/>
            <w:vAlign w:val="center"/>
          </w:tcPr>
          <w:p>
            <w:pPr>
              <w:snapToGrid w:val="0"/>
              <w:spacing w:line="240" w:lineRule="auto"/>
              <w:jc w:val="center"/>
              <w:rPr>
                <w:rFonts w:ascii="宋体" w:hAnsi="宋体" w:eastAsia="宋体" w:cs="宋体"/>
                <w:sz w:val="21"/>
                <w:szCs w:val="21"/>
              </w:rPr>
            </w:pPr>
          </w:p>
        </w:tc>
        <w:tc>
          <w:tcPr>
            <w:tcW w:w="909" w:type="dxa"/>
            <w:vAlign w:val="center"/>
          </w:tcPr>
          <w:p>
            <w:pPr>
              <w:snapToGrid w:val="0"/>
              <w:spacing w:line="240" w:lineRule="auto"/>
              <w:jc w:val="center"/>
              <w:rPr>
                <w:rFonts w:ascii="宋体" w:hAnsi="宋体" w:eastAsia="宋体" w:cs="宋体"/>
                <w:sz w:val="21"/>
                <w:szCs w:val="21"/>
              </w:rPr>
            </w:pPr>
          </w:p>
        </w:tc>
        <w:tc>
          <w:tcPr>
            <w:tcW w:w="685" w:type="dxa"/>
            <w:vAlign w:val="center"/>
          </w:tcPr>
          <w:p>
            <w:pPr>
              <w:snapToGrid w:val="0"/>
              <w:spacing w:line="240" w:lineRule="auto"/>
              <w:jc w:val="center"/>
              <w:rPr>
                <w:rFonts w:ascii="宋体" w:hAnsi="宋体" w:eastAsia="宋体" w:cs="宋体"/>
                <w:sz w:val="21"/>
                <w:szCs w:val="21"/>
              </w:rPr>
            </w:pPr>
          </w:p>
        </w:tc>
        <w:tc>
          <w:tcPr>
            <w:tcW w:w="839" w:type="dxa"/>
            <w:vAlign w:val="center"/>
          </w:tcPr>
          <w:p>
            <w:pPr>
              <w:snapToGrid w:val="0"/>
              <w:spacing w:line="240" w:lineRule="auto"/>
              <w:jc w:val="center"/>
              <w:rPr>
                <w:rFonts w:ascii="宋体" w:hAnsi="宋体" w:eastAsia="宋体" w:cs="宋体"/>
                <w:sz w:val="21"/>
                <w:szCs w:val="21"/>
              </w:rPr>
            </w:pPr>
          </w:p>
        </w:tc>
        <w:tc>
          <w:tcPr>
            <w:tcW w:w="685" w:type="dxa"/>
            <w:vAlign w:val="center"/>
          </w:tcPr>
          <w:p>
            <w:pPr>
              <w:snapToGrid w:val="0"/>
              <w:spacing w:line="240" w:lineRule="auto"/>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03" w:type="dxa"/>
            <w:vAlign w:val="center"/>
          </w:tcPr>
          <w:p>
            <w:pPr>
              <w:snapToGrid w:val="0"/>
              <w:spacing w:line="240" w:lineRule="auto"/>
              <w:jc w:val="center"/>
              <w:rPr>
                <w:rFonts w:ascii="宋体" w:hAnsi="宋体" w:eastAsia="宋体" w:cs="宋体"/>
                <w:sz w:val="21"/>
                <w:szCs w:val="21"/>
              </w:rPr>
            </w:pPr>
          </w:p>
        </w:tc>
        <w:tc>
          <w:tcPr>
            <w:tcW w:w="957" w:type="dxa"/>
            <w:vAlign w:val="center"/>
          </w:tcPr>
          <w:p>
            <w:pPr>
              <w:snapToGrid w:val="0"/>
              <w:spacing w:line="240" w:lineRule="auto"/>
              <w:jc w:val="center"/>
              <w:rPr>
                <w:rFonts w:ascii="宋体" w:hAnsi="宋体" w:eastAsia="宋体" w:cs="宋体"/>
                <w:sz w:val="21"/>
                <w:szCs w:val="21"/>
              </w:rPr>
            </w:pPr>
          </w:p>
        </w:tc>
        <w:tc>
          <w:tcPr>
            <w:tcW w:w="942" w:type="dxa"/>
            <w:vAlign w:val="center"/>
          </w:tcPr>
          <w:p>
            <w:pPr>
              <w:snapToGrid w:val="0"/>
              <w:spacing w:line="240" w:lineRule="auto"/>
              <w:jc w:val="center"/>
              <w:rPr>
                <w:rFonts w:ascii="宋体" w:hAnsi="宋体" w:eastAsia="宋体" w:cs="宋体"/>
                <w:sz w:val="21"/>
                <w:szCs w:val="21"/>
              </w:rPr>
            </w:pPr>
          </w:p>
        </w:tc>
        <w:tc>
          <w:tcPr>
            <w:tcW w:w="901" w:type="dxa"/>
            <w:vAlign w:val="center"/>
          </w:tcPr>
          <w:p>
            <w:pPr>
              <w:snapToGrid w:val="0"/>
              <w:spacing w:line="240" w:lineRule="auto"/>
              <w:jc w:val="center"/>
              <w:rPr>
                <w:rFonts w:ascii="宋体" w:hAnsi="宋体" w:eastAsia="宋体" w:cs="宋体"/>
                <w:sz w:val="21"/>
                <w:szCs w:val="21"/>
              </w:rPr>
            </w:pPr>
          </w:p>
        </w:tc>
        <w:tc>
          <w:tcPr>
            <w:tcW w:w="707" w:type="dxa"/>
            <w:vAlign w:val="center"/>
          </w:tcPr>
          <w:p>
            <w:pPr>
              <w:snapToGrid w:val="0"/>
              <w:spacing w:line="240" w:lineRule="auto"/>
              <w:jc w:val="center"/>
              <w:rPr>
                <w:rFonts w:ascii="宋体" w:hAnsi="宋体" w:eastAsia="宋体" w:cs="宋体"/>
                <w:sz w:val="21"/>
                <w:szCs w:val="21"/>
              </w:rPr>
            </w:pPr>
          </w:p>
        </w:tc>
        <w:tc>
          <w:tcPr>
            <w:tcW w:w="705" w:type="dxa"/>
            <w:vAlign w:val="center"/>
          </w:tcPr>
          <w:p>
            <w:pPr>
              <w:snapToGrid w:val="0"/>
              <w:spacing w:line="240" w:lineRule="auto"/>
              <w:jc w:val="center"/>
              <w:rPr>
                <w:rFonts w:ascii="宋体" w:hAnsi="宋体" w:eastAsia="宋体" w:cs="宋体"/>
                <w:sz w:val="21"/>
                <w:szCs w:val="21"/>
              </w:rPr>
            </w:pPr>
          </w:p>
        </w:tc>
        <w:tc>
          <w:tcPr>
            <w:tcW w:w="727" w:type="dxa"/>
            <w:vAlign w:val="center"/>
          </w:tcPr>
          <w:p>
            <w:pPr>
              <w:snapToGrid w:val="0"/>
              <w:spacing w:line="240" w:lineRule="auto"/>
              <w:jc w:val="center"/>
              <w:rPr>
                <w:rFonts w:ascii="宋体" w:hAnsi="宋体" w:eastAsia="宋体" w:cs="宋体"/>
                <w:sz w:val="21"/>
                <w:szCs w:val="21"/>
              </w:rPr>
            </w:pPr>
          </w:p>
        </w:tc>
        <w:tc>
          <w:tcPr>
            <w:tcW w:w="696" w:type="dxa"/>
            <w:vAlign w:val="center"/>
          </w:tcPr>
          <w:p>
            <w:pPr>
              <w:snapToGrid w:val="0"/>
              <w:spacing w:line="240" w:lineRule="auto"/>
              <w:jc w:val="center"/>
              <w:rPr>
                <w:rFonts w:ascii="宋体" w:hAnsi="宋体" w:eastAsia="宋体" w:cs="宋体"/>
                <w:sz w:val="21"/>
                <w:szCs w:val="21"/>
              </w:rPr>
            </w:pPr>
          </w:p>
        </w:tc>
        <w:tc>
          <w:tcPr>
            <w:tcW w:w="909" w:type="dxa"/>
            <w:vAlign w:val="center"/>
          </w:tcPr>
          <w:p>
            <w:pPr>
              <w:snapToGrid w:val="0"/>
              <w:spacing w:line="240" w:lineRule="auto"/>
              <w:jc w:val="center"/>
              <w:rPr>
                <w:rFonts w:ascii="宋体" w:hAnsi="宋体" w:eastAsia="宋体" w:cs="宋体"/>
                <w:sz w:val="21"/>
                <w:szCs w:val="21"/>
              </w:rPr>
            </w:pPr>
          </w:p>
        </w:tc>
        <w:tc>
          <w:tcPr>
            <w:tcW w:w="685" w:type="dxa"/>
            <w:vAlign w:val="center"/>
          </w:tcPr>
          <w:p>
            <w:pPr>
              <w:snapToGrid w:val="0"/>
              <w:spacing w:line="240" w:lineRule="auto"/>
              <w:jc w:val="center"/>
              <w:rPr>
                <w:rFonts w:ascii="宋体" w:hAnsi="宋体" w:eastAsia="宋体" w:cs="宋体"/>
                <w:sz w:val="21"/>
                <w:szCs w:val="21"/>
              </w:rPr>
            </w:pPr>
          </w:p>
        </w:tc>
        <w:tc>
          <w:tcPr>
            <w:tcW w:w="839" w:type="dxa"/>
            <w:vAlign w:val="center"/>
          </w:tcPr>
          <w:p>
            <w:pPr>
              <w:snapToGrid w:val="0"/>
              <w:spacing w:line="240" w:lineRule="auto"/>
              <w:jc w:val="center"/>
              <w:rPr>
                <w:rFonts w:ascii="宋体" w:hAnsi="宋体" w:eastAsia="宋体" w:cs="宋体"/>
                <w:sz w:val="21"/>
                <w:szCs w:val="21"/>
              </w:rPr>
            </w:pPr>
          </w:p>
        </w:tc>
        <w:tc>
          <w:tcPr>
            <w:tcW w:w="685" w:type="dxa"/>
            <w:vAlign w:val="center"/>
          </w:tcPr>
          <w:p>
            <w:pPr>
              <w:snapToGrid w:val="0"/>
              <w:spacing w:line="240" w:lineRule="auto"/>
              <w:jc w:val="center"/>
              <w:rPr>
                <w:rFonts w:ascii="宋体" w:hAnsi="宋体" w:eastAsia="宋体" w:cs="宋体"/>
                <w:sz w:val="21"/>
                <w:szCs w:val="21"/>
              </w:rPr>
            </w:pPr>
          </w:p>
        </w:tc>
      </w:tr>
    </w:tbl>
    <w:p>
      <w:pPr>
        <w:jc w:val="center"/>
        <w:rPr>
          <w:rFonts w:ascii="方正小标宋简体" w:hAnsi="Times New Roman" w:eastAsia="方正小标宋简体" w:cs="Times New Roman"/>
          <w:sz w:val="44"/>
          <w:szCs w:val="44"/>
        </w:rPr>
      </w:pPr>
    </w:p>
    <w:p>
      <w:pPr>
        <w:jc w:val="center"/>
        <w:rPr>
          <w:rFonts w:ascii="方正小标宋简体" w:hAnsi="Times New Roman" w:eastAsia="方正小标宋简体" w:cs="Times New Roman"/>
          <w:sz w:val="44"/>
          <w:szCs w:val="44"/>
        </w:rPr>
      </w:pPr>
    </w:p>
    <w:p>
      <w:pPr>
        <w:jc w:val="left"/>
        <w:rPr>
          <w:rFonts w:ascii="黑体" w:hAnsi="黑体" w:eastAsia="黑体" w:cs="Times New Roman"/>
          <w:sz w:val="32"/>
          <w:szCs w:val="32"/>
        </w:rPr>
      </w:pPr>
      <w:r>
        <w:rPr>
          <w:rFonts w:ascii="方正小标宋简体" w:hAnsi="Times New Roman" w:eastAsia="方正小标宋简体" w:cs="Times New Roman"/>
          <w:sz w:val="44"/>
          <w:szCs w:val="44"/>
        </w:rPr>
        <w:br w:type="page"/>
      </w:r>
      <w:r>
        <w:rPr>
          <w:rFonts w:hint="eastAsia" w:ascii="黑体" w:hAnsi="黑体" w:eastAsia="黑体" w:cs="Times New Roman"/>
          <w:sz w:val="32"/>
          <w:szCs w:val="32"/>
        </w:rPr>
        <w:t>附件8</w:t>
      </w:r>
    </w:p>
    <w:p>
      <w:pPr>
        <w:spacing w:line="480" w:lineRule="exact"/>
        <w:ind w:firstLine="160" w:firstLineChars="5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信用修复所需文件材料</w:t>
      </w:r>
    </w:p>
    <w:p>
      <w:pPr>
        <w:pStyle w:val="4"/>
        <w:shd w:val="clear" w:color="auto" w:fill="FFFFFF"/>
        <w:spacing w:beforeAutospacing="0" w:afterAutospacing="0" w:line="560" w:lineRule="exact"/>
        <w:ind w:firstLine="640" w:firstLineChars="200"/>
        <w:jc w:val="both"/>
        <w:rPr>
          <w:rFonts w:ascii="仿宋_GB2312" w:eastAsia="仿宋_GB2312"/>
          <w:bCs/>
          <w:sz w:val="32"/>
          <w:szCs w:val="32"/>
        </w:rPr>
      </w:pPr>
    </w:p>
    <w:p>
      <w:pPr>
        <w:pStyle w:val="4"/>
        <w:shd w:val="clear" w:color="auto" w:fill="FFFFFF"/>
        <w:spacing w:beforeAutospacing="0" w:afterAutospacing="0" w:line="560" w:lineRule="exact"/>
        <w:ind w:firstLine="640" w:firstLineChars="200"/>
        <w:jc w:val="both"/>
        <w:rPr>
          <w:rFonts w:ascii="仿宋_GB2312" w:eastAsia="仿宋_GB2312"/>
          <w:bCs/>
          <w:sz w:val="32"/>
          <w:szCs w:val="32"/>
        </w:rPr>
      </w:pPr>
      <w:r>
        <w:rPr>
          <w:rFonts w:hint="eastAsia" w:ascii="仿宋_GB2312" w:eastAsia="仿宋_GB2312"/>
          <w:bCs/>
          <w:sz w:val="32"/>
          <w:szCs w:val="32"/>
        </w:rPr>
        <w:t>1.水行政主管部门出具的同意信用修复的文件。</w:t>
      </w:r>
    </w:p>
    <w:p>
      <w:pPr>
        <w:pStyle w:val="4"/>
        <w:shd w:val="clear" w:color="auto" w:fill="FFFFFF"/>
        <w:spacing w:beforeAutospacing="0" w:afterAutospacing="0" w:line="560" w:lineRule="exact"/>
        <w:ind w:firstLine="640" w:firstLineChars="200"/>
        <w:jc w:val="both"/>
        <w:rPr>
          <w:rFonts w:ascii="仿宋_GB2312" w:eastAsia="仿宋_GB2312"/>
          <w:bCs/>
          <w:sz w:val="32"/>
          <w:szCs w:val="32"/>
        </w:rPr>
      </w:pPr>
      <w:r>
        <w:rPr>
          <w:rFonts w:hint="eastAsia" w:ascii="仿宋_GB2312" w:eastAsia="仿宋_GB2312"/>
          <w:bCs/>
          <w:sz w:val="32"/>
          <w:szCs w:val="32"/>
        </w:rPr>
        <w:t>2.撤销水利建设市场主体不良行为记录信息统计表（由市水行政主管部门填写、盖章，见附表8-1）。</w:t>
      </w:r>
    </w:p>
    <w:p>
      <w:pPr>
        <w:pStyle w:val="4"/>
        <w:shd w:val="clear" w:color="auto" w:fill="FFFFFF"/>
        <w:spacing w:beforeAutospacing="0" w:afterAutospacing="0" w:line="560" w:lineRule="exact"/>
        <w:ind w:firstLine="640" w:firstLineChars="200"/>
        <w:jc w:val="both"/>
        <w:rPr>
          <w:rFonts w:ascii="仿宋_GB2312" w:eastAsia="仿宋_GB2312"/>
          <w:bCs/>
          <w:sz w:val="32"/>
          <w:szCs w:val="32"/>
        </w:rPr>
      </w:pPr>
      <w:r>
        <w:rPr>
          <w:rFonts w:hint="eastAsia" w:ascii="仿宋_GB2312" w:eastAsia="仿宋_GB2312"/>
          <w:bCs/>
          <w:sz w:val="32"/>
          <w:szCs w:val="32"/>
        </w:rPr>
        <w:t>3.水利建设市场主体问题清单及整改落实情况（由认定单位填写、盖章，见附表8-2）。</w:t>
      </w:r>
    </w:p>
    <w:p>
      <w:pPr>
        <w:pStyle w:val="4"/>
        <w:shd w:val="clear" w:color="auto" w:fill="FFFFFF"/>
        <w:spacing w:beforeAutospacing="0" w:afterAutospacing="0" w:line="560" w:lineRule="exact"/>
        <w:ind w:firstLine="640" w:firstLineChars="200"/>
        <w:jc w:val="both"/>
        <w:rPr>
          <w:rFonts w:ascii="仿宋_GB2312" w:eastAsia="仿宋_GB2312"/>
          <w:bCs/>
          <w:sz w:val="32"/>
          <w:szCs w:val="32"/>
        </w:rPr>
      </w:pPr>
      <w:r>
        <w:rPr>
          <w:rFonts w:hint="eastAsia" w:ascii="仿宋_GB2312" w:eastAsia="仿宋_GB2312"/>
          <w:bCs/>
          <w:sz w:val="32"/>
          <w:szCs w:val="32"/>
        </w:rPr>
        <w:t>4.信用修复申请书（由市场主体填写、盖章，见附表8-3）。</w:t>
      </w:r>
    </w:p>
    <w:p>
      <w:pPr>
        <w:pStyle w:val="4"/>
        <w:shd w:val="clear" w:color="auto" w:fill="FFFFFF"/>
        <w:spacing w:beforeAutospacing="0" w:afterAutospacing="0" w:line="560" w:lineRule="exact"/>
        <w:ind w:firstLine="640" w:firstLineChars="200"/>
        <w:jc w:val="both"/>
        <w:rPr>
          <w:rFonts w:ascii="仿宋_GB2312" w:eastAsia="仿宋_GB2312"/>
          <w:bCs/>
          <w:sz w:val="32"/>
          <w:szCs w:val="32"/>
        </w:rPr>
      </w:pPr>
      <w:r>
        <w:rPr>
          <w:rFonts w:hint="eastAsia" w:ascii="仿宋_GB2312" w:eastAsia="仿宋_GB2312"/>
          <w:bCs/>
          <w:sz w:val="32"/>
          <w:szCs w:val="32"/>
        </w:rPr>
        <w:t>5.承诺书（由市场主体法定代表人签字、盖公章）。</w:t>
      </w:r>
    </w:p>
    <w:p>
      <w:pPr>
        <w:pStyle w:val="4"/>
        <w:shd w:val="clear" w:color="auto" w:fill="FFFFFF"/>
        <w:spacing w:beforeAutospacing="0" w:afterAutospacing="0" w:line="560" w:lineRule="exact"/>
        <w:ind w:firstLine="640" w:firstLineChars="200"/>
        <w:jc w:val="both"/>
        <w:rPr>
          <w:rFonts w:ascii="仿宋_GB2312" w:eastAsia="仿宋_GB2312"/>
          <w:bCs/>
          <w:sz w:val="32"/>
          <w:szCs w:val="32"/>
        </w:rPr>
        <w:sectPr>
          <w:headerReference r:id="rId6" w:type="default"/>
          <w:footerReference r:id="rId7" w:type="default"/>
          <w:footerReference r:id="rId8" w:type="even"/>
          <w:pgSz w:w="11906" w:h="16838"/>
          <w:pgMar w:top="2098" w:right="1474" w:bottom="1985" w:left="1588" w:header="851" w:footer="992" w:gutter="0"/>
          <w:pgNumType w:fmt="numberInDash"/>
          <w:cols w:space="720" w:num="1"/>
          <w:docGrid w:type="linesAndChars" w:linePitch="319" w:charSpace="0"/>
        </w:sectPr>
      </w:pPr>
      <w:r>
        <w:rPr>
          <w:rFonts w:hint="eastAsia" w:ascii="仿宋_GB2312" w:eastAsia="仿宋_GB2312"/>
          <w:bCs/>
          <w:sz w:val="32"/>
          <w:szCs w:val="32"/>
        </w:rPr>
        <w:t>6.问题整改落实报告及相关印证资料（由市场主体盖章，提供印证资料）。</w:t>
      </w:r>
    </w:p>
    <w:p>
      <w:pPr>
        <w:jc w:val="center"/>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附表8-1  撤销水利建设市场主体不良行为记录信息统计表</w:t>
      </w:r>
    </w:p>
    <w:p>
      <w:pPr>
        <w:spacing w:line="360" w:lineRule="auto"/>
        <w:ind w:right="640" w:firstLine="210" w:firstLineChars="100"/>
        <w:rPr>
          <w:rFonts w:ascii="宋体" w:hAnsi="宋体" w:eastAsia="宋体" w:cs="宋体"/>
          <w:sz w:val="21"/>
          <w:szCs w:val="21"/>
        </w:rPr>
      </w:pPr>
    </w:p>
    <w:p>
      <w:pPr>
        <w:spacing w:line="360" w:lineRule="auto"/>
        <w:ind w:right="640" w:firstLine="210" w:firstLineChars="100"/>
        <w:rPr>
          <w:rFonts w:ascii="宋体" w:hAnsi="宋体" w:eastAsia="宋体" w:cs="宋体"/>
          <w:sz w:val="21"/>
          <w:szCs w:val="21"/>
        </w:rPr>
      </w:pPr>
      <w:r>
        <w:rPr>
          <w:rFonts w:hint="eastAsia" w:ascii="宋体" w:hAnsi="宋体" w:eastAsia="宋体" w:cs="宋体"/>
          <w:sz w:val="21"/>
          <w:szCs w:val="21"/>
        </w:rPr>
        <w:t>填报单位（盖章）：                        填报日期：    年   月   日</w:t>
      </w:r>
    </w:p>
    <w:tbl>
      <w:tblPr>
        <w:tblStyle w:val="6"/>
        <w:tblW w:w="8457" w:type="dxa"/>
        <w:tblInd w:w="-127" w:type="dxa"/>
        <w:tblLayout w:type="fixed"/>
        <w:tblCellMar>
          <w:top w:w="15" w:type="dxa"/>
          <w:left w:w="15" w:type="dxa"/>
          <w:bottom w:w="15" w:type="dxa"/>
          <w:right w:w="15" w:type="dxa"/>
        </w:tblCellMar>
      </w:tblPr>
      <w:tblGrid>
        <w:gridCol w:w="709"/>
        <w:gridCol w:w="709"/>
        <w:gridCol w:w="791"/>
        <w:gridCol w:w="694"/>
        <w:gridCol w:w="694"/>
        <w:gridCol w:w="694"/>
        <w:gridCol w:w="694"/>
        <w:gridCol w:w="694"/>
        <w:gridCol w:w="694"/>
        <w:gridCol w:w="694"/>
        <w:gridCol w:w="694"/>
        <w:gridCol w:w="696"/>
      </w:tblGrid>
      <w:tr>
        <w:tblPrEx>
          <w:tblLayout w:type="fixed"/>
          <w:tblCellMar>
            <w:top w:w="15" w:type="dxa"/>
            <w:left w:w="15" w:type="dxa"/>
            <w:bottom w:w="15" w:type="dxa"/>
            <w:right w:w="15" w:type="dxa"/>
          </w:tblCellMar>
        </w:tblPrEx>
        <w:trPr>
          <w:trHeight w:val="371" w:hRule="atLeast"/>
          <w:tblHeader/>
        </w:trPr>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ascii="宋体" w:hAnsi="宋体" w:eastAsia="宋体" w:cs="宋体"/>
                <w:b/>
                <w:sz w:val="21"/>
                <w:szCs w:val="21"/>
              </w:rPr>
            </w:pPr>
            <w:r>
              <w:rPr>
                <w:rFonts w:hint="eastAsia" w:ascii="宋体" w:hAnsi="宋体" w:eastAsia="宋体" w:cs="宋体"/>
                <w:b/>
                <w:kern w:val="0"/>
                <w:sz w:val="21"/>
                <w:szCs w:val="21"/>
              </w:rPr>
              <w:t>序号</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ascii="宋体" w:hAnsi="宋体" w:eastAsia="宋体" w:cs="宋体"/>
                <w:b/>
                <w:kern w:val="0"/>
                <w:sz w:val="21"/>
                <w:szCs w:val="21"/>
              </w:rPr>
            </w:pPr>
            <w:r>
              <w:rPr>
                <w:rFonts w:hint="eastAsia" w:ascii="宋体" w:hAnsi="宋体" w:eastAsia="宋体" w:cs="宋体"/>
                <w:b/>
                <w:kern w:val="0"/>
                <w:sz w:val="21"/>
                <w:szCs w:val="21"/>
              </w:rPr>
              <w:t>单位</w:t>
            </w:r>
          </w:p>
          <w:p>
            <w:pPr>
              <w:snapToGrid w:val="0"/>
              <w:spacing w:line="240" w:lineRule="auto"/>
              <w:jc w:val="center"/>
              <w:textAlignment w:val="center"/>
              <w:rPr>
                <w:rFonts w:ascii="宋体" w:hAnsi="宋体" w:eastAsia="宋体" w:cs="宋体"/>
                <w:b/>
                <w:sz w:val="21"/>
                <w:szCs w:val="21"/>
              </w:rPr>
            </w:pPr>
            <w:r>
              <w:rPr>
                <w:rFonts w:hint="eastAsia" w:ascii="宋体" w:hAnsi="宋体" w:eastAsia="宋体" w:cs="宋体"/>
                <w:b/>
                <w:kern w:val="0"/>
                <w:sz w:val="21"/>
                <w:szCs w:val="21"/>
              </w:rPr>
              <w:t>名称</w:t>
            </w:r>
          </w:p>
        </w:tc>
        <w:tc>
          <w:tcPr>
            <w:tcW w:w="791"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ascii="宋体" w:hAnsi="宋体" w:eastAsia="宋体" w:cs="宋体"/>
                <w:b/>
                <w:sz w:val="21"/>
                <w:szCs w:val="21"/>
              </w:rPr>
            </w:pPr>
            <w:r>
              <w:rPr>
                <w:rFonts w:hint="eastAsia" w:ascii="宋体" w:hAnsi="宋体" w:eastAsia="宋体" w:cs="宋体"/>
                <w:b/>
                <w:kern w:val="0"/>
                <w:sz w:val="21"/>
                <w:szCs w:val="21"/>
              </w:rPr>
              <w:t>统一社会信用代码</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ascii="宋体" w:hAnsi="宋体" w:eastAsia="宋体" w:cs="宋体"/>
                <w:b/>
                <w:kern w:val="0"/>
                <w:sz w:val="21"/>
                <w:szCs w:val="21"/>
              </w:rPr>
            </w:pPr>
            <w:r>
              <w:rPr>
                <w:rFonts w:hint="eastAsia" w:ascii="宋体" w:hAnsi="宋体" w:eastAsia="宋体" w:cs="宋体"/>
                <w:b/>
                <w:kern w:val="0"/>
                <w:sz w:val="21"/>
                <w:szCs w:val="21"/>
              </w:rPr>
              <w:t>工程项</w:t>
            </w:r>
          </w:p>
          <w:p>
            <w:pPr>
              <w:snapToGrid w:val="0"/>
              <w:spacing w:line="240" w:lineRule="auto"/>
              <w:jc w:val="center"/>
              <w:textAlignment w:val="center"/>
              <w:rPr>
                <w:rFonts w:ascii="宋体" w:hAnsi="宋体" w:eastAsia="宋体" w:cs="宋体"/>
                <w:b/>
                <w:sz w:val="21"/>
                <w:szCs w:val="21"/>
              </w:rPr>
            </w:pPr>
            <w:r>
              <w:rPr>
                <w:rFonts w:hint="eastAsia" w:ascii="宋体" w:hAnsi="宋体" w:eastAsia="宋体" w:cs="宋体"/>
                <w:b/>
                <w:kern w:val="0"/>
                <w:sz w:val="21"/>
                <w:szCs w:val="21"/>
              </w:rPr>
              <w:t>目名称</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ascii="宋体" w:hAnsi="宋体" w:eastAsia="宋体" w:cs="宋体"/>
                <w:b/>
                <w:kern w:val="0"/>
                <w:sz w:val="21"/>
                <w:szCs w:val="21"/>
              </w:rPr>
            </w:pPr>
            <w:r>
              <w:rPr>
                <w:rFonts w:hint="eastAsia" w:ascii="宋体" w:hAnsi="宋体" w:eastAsia="宋体" w:cs="宋体"/>
                <w:b/>
                <w:kern w:val="0"/>
                <w:sz w:val="21"/>
                <w:szCs w:val="21"/>
              </w:rPr>
              <w:t>承担</w:t>
            </w:r>
          </w:p>
          <w:p>
            <w:pPr>
              <w:snapToGrid w:val="0"/>
              <w:spacing w:line="240" w:lineRule="auto"/>
              <w:jc w:val="center"/>
              <w:textAlignment w:val="center"/>
              <w:rPr>
                <w:rFonts w:ascii="宋体" w:hAnsi="宋体" w:eastAsia="宋体" w:cs="宋体"/>
                <w:b/>
                <w:sz w:val="21"/>
                <w:szCs w:val="21"/>
              </w:rPr>
            </w:pPr>
            <w:r>
              <w:rPr>
                <w:rFonts w:hint="eastAsia" w:ascii="宋体" w:hAnsi="宋体" w:eastAsia="宋体" w:cs="宋体"/>
                <w:b/>
                <w:kern w:val="0"/>
                <w:sz w:val="21"/>
                <w:szCs w:val="21"/>
              </w:rPr>
              <w:t>工作</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ascii="宋体" w:hAnsi="宋体" w:eastAsia="宋体" w:cs="宋体"/>
                <w:b/>
                <w:kern w:val="0"/>
                <w:sz w:val="21"/>
                <w:szCs w:val="21"/>
              </w:rPr>
            </w:pPr>
            <w:r>
              <w:rPr>
                <w:rFonts w:hint="eastAsia" w:ascii="宋体" w:hAnsi="宋体" w:eastAsia="宋体" w:cs="宋体"/>
                <w:b/>
                <w:kern w:val="0"/>
                <w:sz w:val="21"/>
                <w:szCs w:val="21"/>
              </w:rPr>
              <w:t>处理</w:t>
            </w:r>
          </w:p>
          <w:p>
            <w:pPr>
              <w:snapToGrid w:val="0"/>
              <w:spacing w:line="240" w:lineRule="auto"/>
              <w:jc w:val="center"/>
              <w:textAlignment w:val="center"/>
              <w:rPr>
                <w:rFonts w:ascii="宋体" w:hAnsi="宋体" w:eastAsia="宋体" w:cs="宋体"/>
                <w:b/>
                <w:sz w:val="21"/>
                <w:szCs w:val="21"/>
              </w:rPr>
            </w:pPr>
            <w:r>
              <w:rPr>
                <w:rFonts w:hint="eastAsia" w:ascii="宋体" w:hAnsi="宋体" w:eastAsia="宋体" w:cs="宋体"/>
                <w:b/>
                <w:kern w:val="0"/>
                <w:sz w:val="21"/>
                <w:szCs w:val="21"/>
              </w:rPr>
              <w:t>决定</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ascii="宋体" w:hAnsi="宋体" w:eastAsia="宋体" w:cs="宋体"/>
                <w:b/>
                <w:kern w:val="0"/>
                <w:sz w:val="21"/>
                <w:szCs w:val="21"/>
              </w:rPr>
            </w:pPr>
            <w:r>
              <w:rPr>
                <w:rFonts w:hint="eastAsia" w:ascii="宋体" w:hAnsi="宋体" w:eastAsia="宋体" w:cs="宋体"/>
                <w:b/>
                <w:kern w:val="0"/>
                <w:sz w:val="21"/>
                <w:szCs w:val="21"/>
              </w:rPr>
              <w:t>扣分</w:t>
            </w:r>
          </w:p>
          <w:p>
            <w:pPr>
              <w:snapToGrid w:val="0"/>
              <w:spacing w:line="240" w:lineRule="auto"/>
              <w:jc w:val="center"/>
              <w:textAlignment w:val="center"/>
              <w:rPr>
                <w:rFonts w:ascii="宋体" w:hAnsi="宋体" w:eastAsia="宋体" w:cs="宋体"/>
                <w:b/>
                <w:sz w:val="21"/>
                <w:szCs w:val="21"/>
              </w:rPr>
            </w:pPr>
            <w:r>
              <w:rPr>
                <w:rFonts w:hint="eastAsia" w:ascii="宋体" w:hAnsi="宋体" w:eastAsia="宋体" w:cs="宋体"/>
                <w:b/>
                <w:kern w:val="0"/>
                <w:sz w:val="21"/>
                <w:szCs w:val="21"/>
              </w:rPr>
              <w:t>分值</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ascii="宋体" w:hAnsi="宋体" w:eastAsia="宋体" w:cs="宋体"/>
                <w:b/>
                <w:kern w:val="0"/>
                <w:sz w:val="21"/>
                <w:szCs w:val="21"/>
              </w:rPr>
            </w:pPr>
            <w:r>
              <w:rPr>
                <w:rFonts w:hint="eastAsia" w:ascii="宋体" w:hAnsi="宋体" w:eastAsia="宋体" w:cs="宋体"/>
                <w:b/>
                <w:kern w:val="0"/>
                <w:sz w:val="21"/>
                <w:szCs w:val="21"/>
              </w:rPr>
              <w:t>处理</w:t>
            </w:r>
          </w:p>
          <w:p>
            <w:pPr>
              <w:snapToGrid w:val="0"/>
              <w:spacing w:line="240" w:lineRule="auto"/>
              <w:jc w:val="center"/>
              <w:textAlignment w:val="center"/>
              <w:rPr>
                <w:rFonts w:ascii="宋体" w:hAnsi="宋体" w:eastAsia="宋体" w:cs="宋体"/>
                <w:b/>
                <w:sz w:val="21"/>
                <w:szCs w:val="21"/>
              </w:rPr>
            </w:pPr>
            <w:r>
              <w:rPr>
                <w:rFonts w:hint="eastAsia" w:ascii="宋体" w:hAnsi="宋体" w:eastAsia="宋体" w:cs="宋体"/>
                <w:b/>
                <w:kern w:val="0"/>
                <w:sz w:val="21"/>
                <w:szCs w:val="21"/>
              </w:rPr>
              <w:t>时间</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ascii="宋体" w:hAnsi="宋体" w:eastAsia="宋体" w:cs="宋体"/>
                <w:b/>
                <w:kern w:val="0"/>
                <w:sz w:val="21"/>
                <w:szCs w:val="21"/>
              </w:rPr>
            </w:pPr>
            <w:r>
              <w:rPr>
                <w:rFonts w:hint="eastAsia" w:ascii="宋体" w:hAnsi="宋体" w:eastAsia="宋体" w:cs="宋体"/>
                <w:b/>
                <w:kern w:val="0"/>
                <w:sz w:val="21"/>
                <w:szCs w:val="21"/>
              </w:rPr>
              <w:t>处理</w:t>
            </w:r>
          </w:p>
          <w:p>
            <w:pPr>
              <w:snapToGrid w:val="0"/>
              <w:spacing w:line="240" w:lineRule="auto"/>
              <w:jc w:val="center"/>
              <w:textAlignment w:val="center"/>
              <w:rPr>
                <w:rFonts w:ascii="宋体" w:hAnsi="宋体" w:eastAsia="宋体" w:cs="宋体"/>
                <w:b/>
                <w:sz w:val="21"/>
                <w:szCs w:val="21"/>
              </w:rPr>
            </w:pPr>
            <w:r>
              <w:rPr>
                <w:rFonts w:hint="eastAsia" w:ascii="宋体" w:hAnsi="宋体" w:eastAsia="宋体" w:cs="宋体"/>
                <w:b/>
                <w:kern w:val="0"/>
                <w:sz w:val="21"/>
                <w:szCs w:val="21"/>
              </w:rPr>
              <w:t>机关</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ascii="宋体" w:hAnsi="宋体" w:eastAsia="宋体" w:cs="宋体"/>
                <w:b/>
                <w:kern w:val="0"/>
                <w:sz w:val="21"/>
                <w:szCs w:val="21"/>
              </w:rPr>
            </w:pPr>
            <w:r>
              <w:rPr>
                <w:rFonts w:hint="eastAsia" w:ascii="宋体" w:hAnsi="宋体" w:eastAsia="宋体" w:cs="宋体"/>
                <w:b/>
                <w:kern w:val="0"/>
                <w:sz w:val="21"/>
                <w:szCs w:val="21"/>
              </w:rPr>
              <w:t>撤销</w:t>
            </w:r>
          </w:p>
          <w:p>
            <w:pPr>
              <w:snapToGrid w:val="0"/>
              <w:spacing w:line="240" w:lineRule="auto"/>
              <w:jc w:val="center"/>
              <w:textAlignment w:val="center"/>
              <w:rPr>
                <w:rFonts w:ascii="宋体" w:hAnsi="宋体" w:eastAsia="宋体" w:cs="宋体"/>
                <w:b/>
                <w:sz w:val="21"/>
                <w:szCs w:val="21"/>
              </w:rPr>
            </w:pPr>
            <w:r>
              <w:rPr>
                <w:rFonts w:hint="eastAsia" w:ascii="宋体" w:hAnsi="宋体" w:eastAsia="宋体" w:cs="宋体"/>
                <w:b/>
                <w:kern w:val="0"/>
                <w:sz w:val="21"/>
                <w:szCs w:val="21"/>
              </w:rPr>
              <w:t>依据</w:t>
            </w:r>
          </w:p>
        </w:tc>
        <w:tc>
          <w:tcPr>
            <w:tcW w:w="69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ascii="宋体" w:hAnsi="宋体" w:eastAsia="宋体" w:cs="宋体"/>
                <w:b/>
                <w:kern w:val="0"/>
                <w:sz w:val="21"/>
                <w:szCs w:val="21"/>
              </w:rPr>
            </w:pPr>
            <w:r>
              <w:rPr>
                <w:rFonts w:hint="eastAsia" w:ascii="宋体" w:hAnsi="宋体" w:eastAsia="宋体" w:cs="宋体"/>
                <w:b/>
                <w:kern w:val="0"/>
                <w:sz w:val="21"/>
                <w:szCs w:val="21"/>
              </w:rPr>
              <w:t>撤销</w:t>
            </w:r>
          </w:p>
          <w:p>
            <w:pPr>
              <w:snapToGrid w:val="0"/>
              <w:spacing w:line="240" w:lineRule="auto"/>
              <w:jc w:val="center"/>
              <w:textAlignment w:val="center"/>
              <w:rPr>
                <w:rFonts w:ascii="宋体" w:hAnsi="宋体" w:eastAsia="宋体" w:cs="宋体"/>
                <w:b/>
                <w:sz w:val="21"/>
                <w:szCs w:val="21"/>
              </w:rPr>
            </w:pPr>
            <w:r>
              <w:rPr>
                <w:rFonts w:hint="eastAsia" w:ascii="宋体" w:hAnsi="宋体" w:eastAsia="宋体" w:cs="宋体"/>
                <w:b/>
                <w:kern w:val="0"/>
                <w:sz w:val="21"/>
                <w:szCs w:val="21"/>
              </w:rPr>
              <w:t>时间</w:t>
            </w:r>
          </w:p>
        </w:tc>
        <w:tc>
          <w:tcPr>
            <w:tcW w:w="696"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textAlignment w:val="center"/>
              <w:rPr>
                <w:rFonts w:ascii="宋体" w:hAnsi="宋体" w:eastAsia="宋体" w:cs="宋体"/>
                <w:b/>
                <w:kern w:val="0"/>
                <w:sz w:val="21"/>
                <w:szCs w:val="21"/>
              </w:rPr>
            </w:pPr>
            <w:r>
              <w:rPr>
                <w:rFonts w:hint="eastAsia" w:ascii="宋体" w:hAnsi="宋体" w:eastAsia="宋体" w:cs="宋体"/>
                <w:b/>
                <w:kern w:val="0"/>
                <w:sz w:val="21"/>
                <w:szCs w:val="21"/>
              </w:rPr>
              <w:t>撤销</w:t>
            </w:r>
          </w:p>
          <w:p>
            <w:pPr>
              <w:snapToGrid w:val="0"/>
              <w:spacing w:line="240" w:lineRule="auto"/>
              <w:jc w:val="center"/>
              <w:textAlignment w:val="center"/>
              <w:rPr>
                <w:rFonts w:ascii="宋体" w:hAnsi="宋体" w:eastAsia="宋体" w:cs="宋体"/>
                <w:b/>
                <w:sz w:val="21"/>
                <w:szCs w:val="21"/>
              </w:rPr>
            </w:pPr>
            <w:r>
              <w:rPr>
                <w:rFonts w:hint="eastAsia" w:ascii="宋体" w:hAnsi="宋体" w:eastAsia="宋体" w:cs="宋体"/>
                <w:b/>
                <w:kern w:val="0"/>
                <w:sz w:val="21"/>
                <w:szCs w:val="21"/>
              </w:rPr>
              <w:t>机关</w:t>
            </w:r>
          </w:p>
        </w:tc>
      </w:tr>
      <w:tr>
        <w:tblPrEx>
          <w:tblLayout w:type="fixed"/>
          <w:tblCellMar>
            <w:top w:w="15" w:type="dxa"/>
            <w:left w:w="15" w:type="dxa"/>
            <w:bottom w:w="15" w:type="dxa"/>
            <w:right w:w="15" w:type="dxa"/>
          </w:tblCellMar>
        </w:tblPrEx>
        <w:trPr>
          <w:trHeight w:val="371" w:hRule="atLeast"/>
          <w:tblHeader/>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79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r>
      <w:tr>
        <w:tblPrEx>
          <w:tblLayout w:type="fixed"/>
          <w:tblCellMar>
            <w:top w:w="15" w:type="dxa"/>
            <w:left w:w="15" w:type="dxa"/>
            <w:bottom w:w="15" w:type="dxa"/>
            <w:right w:w="15" w:type="dxa"/>
          </w:tblCellMar>
        </w:tblPrEx>
        <w:trPr>
          <w:trHeight w:val="327" w:hRule="atLeast"/>
          <w:tblHeader/>
        </w:trPr>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79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69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c>
          <w:tcPr>
            <w:tcW w:w="69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
                <w:sz w:val="21"/>
                <w:szCs w:val="21"/>
              </w:rPr>
            </w:pPr>
          </w:p>
        </w:tc>
      </w:tr>
      <w:tr>
        <w:tblPrEx>
          <w:tblLayout w:type="fixed"/>
          <w:tblCellMar>
            <w:top w:w="15" w:type="dxa"/>
            <w:left w:w="15" w:type="dxa"/>
            <w:bottom w:w="15" w:type="dxa"/>
            <w:right w:w="15" w:type="dxa"/>
          </w:tblCellMar>
        </w:tblPrEx>
        <w:trPr>
          <w:trHeight w:val="799"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Cs/>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Cs/>
                <w:sz w:val="21"/>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Cs/>
                <w:sz w:val="21"/>
                <w:szCs w:val="21"/>
              </w:rPr>
            </w:pPr>
          </w:p>
        </w:tc>
        <w:tc>
          <w:tcPr>
            <w:tcW w:w="69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Cs/>
                <w:sz w:val="21"/>
                <w:szCs w:val="21"/>
              </w:rPr>
            </w:pPr>
          </w:p>
        </w:tc>
        <w:tc>
          <w:tcPr>
            <w:tcW w:w="69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Cs/>
                <w:sz w:val="21"/>
                <w:szCs w:val="21"/>
              </w:rPr>
            </w:pPr>
          </w:p>
        </w:tc>
        <w:tc>
          <w:tcPr>
            <w:tcW w:w="69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Cs/>
                <w:sz w:val="21"/>
                <w:szCs w:val="21"/>
              </w:rPr>
            </w:pPr>
          </w:p>
        </w:tc>
        <w:tc>
          <w:tcPr>
            <w:tcW w:w="69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Cs/>
                <w:sz w:val="21"/>
                <w:szCs w:val="21"/>
              </w:rPr>
            </w:pPr>
          </w:p>
        </w:tc>
        <w:tc>
          <w:tcPr>
            <w:tcW w:w="69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Cs/>
                <w:sz w:val="21"/>
                <w:szCs w:val="21"/>
              </w:rPr>
            </w:pPr>
          </w:p>
        </w:tc>
        <w:tc>
          <w:tcPr>
            <w:tcW w:w="69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Cs/>
                <w:sz w:val="21"/>
                <w:szCs w:val="21"/>
              </w:rPr>
            </w:pPr>
          </w:p>
        </w:tc>
        <w:tc>
          <w:tcPr>
            <w:tcW w:w="69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Cs/>
                <w:sz w:val="21"/>
                <w:szCs w:val="21"/>
              </w:rPr>
            </w:pPr>
          </w:p>
        </w:tc>
        <w:tc>
          <w:tcPr>
            <w:tcW w:w="694"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Cs/>
                <w:sz w:val="21"/>
                <w:szCs w:val="21"/>
              </w:rPr>
            </w:pPr>
          </w:p>
        </w:tc>
        <w:tc>
          <w:tcPr>
            <w:tcW w:w="69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uto"/>
              <w:jc w:val="center"/>
              <w:rPr>
                <w:rFonts w:ascii="宋体" w:hAnsi="宋体" w:cs="宋体"/>
                <w:bCs/>
                <w:sz w:val="21"/>
                <w:szCs w:val="21"/>
              </w:rPr>
            </w:pPr>
          </w:p>
        </w:tc>
      </w:tr>
    </w:tbl>
    <w:p>
      <w:pPr>
        <w:spacing w:line="240" w:lineRule="auto"/>
        <w:rPr>
          <w:rFonts w:ascii="宋体" w:hAnsi="宋体" w:eastAsia="宋体" w:cs="宋体"/>
          <w:sz w:val="21"/>
          <w:szCs w:val="21"/>
        </w:rPr>
      </w:pPr>
      <w:r>
        <w:rPr>
          <w:rFonts w:hint="eastAsia" w:ascii="宋体" w:hAnsi="宋体" w:eastAsia="宋体" w:cs="宋体"/>
          <w:sz w:val="21"/>
          <w:szCs w:val="21"/>
        </w:rPr>
        <w:t xml:space="preserve">注：1.由市水行政主管部门填写。 </w:t>
      </w:r>
    </w:p>
    <w:p>
      <w:pPr>
        <w:spacing w:line="240" w:lineRule="auto"/>
        <w:rPr>
          <w:rFonts w:ascii="宋体" w:hAnsi="宋体" w:eastAsia="宋体" w:cs="宋体"/>
          <w:sz w:val="21"/>
          <w:szCs w:val="21"/>
        </w:rPr>
      </w:pPr>
      <w:r>
        <w:rPr>
          <w:rFonts w:hint="eastAsia" w:ascii="宋体" w:hAnsi="宋体" w:eastAsia="宋体" w:cs="宋体"/>
          <w:sz w:val="21"/>
          <w:szCs w:val="21"/>
        </w:rPr>
        <w:t xml:space="preserve">    2.省水资源管理集团和省级水行政主管部门直属部门（单位）参照此文件进行信息报送。</w:t>
      </w:r>
    </w:p>
    <w:p>
      <w:pPr>
        <w:spacing w:line="240" w:lineRule="auto"/>
        <w:rPr>
          <w:rFonts w:ascii="宋体" w:hAnsi="宋体" w:eastAsia="宋体" w:cs="宋体"/>
          <w:sz w:val="21"/>
          <w:szCs w:val="21"/>
        </w:rPr>
      </w:pPr>
      <w:r>
        <w:rPr>
          <w:rFonts w:hint="eastAsia" w:ascii="宋体" w:hAnsi="宋体" w:eastAsia="宋体" w:cs="宋体"/>
          <w:sz w:val="21"/>
          <w:szCs w:val="21"/>
        </w:rPr>
        <w:t xml:space="preserve">    3.相关文件均需盖章,并报送纸板和电子版。</w:t>
      </w:r>
    </w:p>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p>
    <w:p>
      <w:pPr>
        <w:jc w:val="center"/>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附表8-2  水利建设市场主体问题清单及整改落实情况</w:t>
      </w:r>
    </w:p>
    <w:p>
      <w:pPr>
        <w:rPr>
          <w:rFonts w:hint="eastAsia" w:ascii="宋体" w:hAnsi="宋体" w:eastAsia="宋体" w:cs="Times New Roman"/>
          <w:sz w:val="21"/>
          <w:szCs w:val="21"/>
        </w:rPr>
      </w:pPr>
    </w:p>
    <w:p>
      <w:pPr>
        <w:rPr>
          <w:rFonts w:ascii="宋体" w:hAnsi="宋体" w:eastAsia="宋体"/>
          <w:sz w:val="21"/>
          <w:szCs w:val="21"/>
        </w:rPr>
      </w:pPr>
      <w:r>
        <w:rPr>
          <w:rFonts w:hint="eastAsia" w:ascii="宋体" w:hAnsi="宋体" w:eastAsia="宋体" w:cs="Times New Roman"/>
          <w:sz w:val="21"/>
          <w:szCs w:val="21"/>
        </w:rPr>
        <w:t xml:space="preserve">填报单位（盖章）：                        </w:t>
      </w:r>
      <w:r>
        <w:rPr>
          <w:rFonts w:hint="eastAsia" w:ascii="宋体" w:hAnsi="宋体" w:eastAsia="宋体"/>
          <w:sz w:val="21"/>
          <w:szCs w:val="21"/>
        </w:rPr>
        <w:t xml:space="preserve">   </w:t>
      </w:r>
      <w:r>
        <w:rPr>
          <w:rFonts w:hint="eastAsia" w:ascii="宋体" w:hAnsi="宋体" w:eastAsia="宋体" w:cs="Times New Roman"/>
          <w:sz w:val="21"/>
          <w:szCs w:val="21"/>
        </w:rPr>
        <w:t>填报日期：  年   月   日</w:t>
      </w:r>
    </w:p>
    <w:tbl>
      <w:tblPr>
        <w:tblStyle w:val="6"/>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09"/>
        <w:gridCol w:w="710"/>
        <w:gridCol w:w="709"/>
        <w:gridCol w:w="710"/>
        <w:gridCol w:w="709"/>
        <w:gridCol w:w="710"/>
        <w:gridCol w:w="710"/>
        <w:gridCol w:w="709"/>
        <w:gridCol w:w="710"/>
        <w:gridCol w:w="709"/>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序号</w:t>
            </w:r>
          </w:p>
        </w:tc>
        <w:tc>
          <w:tcPr>
            <w:tcW w:w="709" w:type="dxa"/>
            <w:vAlign w:val="center"/>
          </w:tcPr>
          <w:p>
            <w:pPr>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单位</w:t>
            </w:r>
          </w:p>
          <w:p>
            <w:pPr>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类别</w:t>
            </w:r>
          </w:p>
        </w:tc>
        <w:tc>
          <w:tcPr>
            <w:tcW w:w="710" w:type="dxa"/>
            <w:vAlign w:val="center"/>
          </w:tcPr>
          <w:p>
            <w:pPr>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单位名称</w:t>
            </w:r>
          </w:p>
        </w:tc>
        <w:tc>
          <w:tcPr>
            <w:tcW w:w="709" w:type="dxa"/>
            <w:vAlign w:val="center"/>
          </w:tcPr>
          <w:p>
            <w:pPr>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统一社会</w:t>
            </w:r>
          </w:p>
          <w:p>
            <w:pPr>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信用代码</w:t>
            </w:r>
          </w:p>
        </w:tc>
        <w:tc>
          <w:tcPr>
            <w:tcW w:w="710" w:type="dxa"/>
            <w:vAlign w:val="center"/>
          </w:tcPr>
          <w:p>
            <w:pPr>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问题描述</w:t>
            </w:r>
          </w:p>
        </w:tc>
        <w:tc>
          <w:tcPr>
            <w:tcW w:w="709" w:type="dxa"/>
            <w:vAlign w:val="center"/>
          </w:tcPr>
          <w:p>
            <w:pPr>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问题分类</w:t>
            </w:r>
          </w:p>
        </w:tc>
        <w:tc>
          <w:tcPr>
            <w:tcW w:w="710" w:type="dxa"/>
            <w:vAlign w:val="center"/>
          </w:tcPr>
          <w:p>
            <w:pPr>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处理依据</w:t>
            </w:r>
          </w:p>
        </w:tc>
        <w:tc>
          <w:tcPr>
            <w:tcW w:w="710" w:type="dxa"/>
            <w:vAlign w:val="center"/>
          </w:tcPr>
          <w:p>
            <w:pPr>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处理决定</w:t>
            </w:r>
          </w:p>
        </w:tc>
        <w:tc>
          <w:tcPr>
            <w:tcW w:w="709" w:type="dxa"/>
            <w:vAlign w:val="center"/>
          </w:tcPr>
          <w:p>
            <w:pPr>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扣分分值</w:t>
            </w:r>
          </w:p>
        </w:tc>
        <w:tc>
          <w:tcPr>
            <w:tcW w:w="710" w:type="dxa"/>
            <w:vAlign w:val="center"/>
          </w:tcPr>
          <w:p>
            <w:pPr>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处理时间</w:t>
            </w:r>
          </w:p>
        </w:tc>
        <w:tc>
          <w:tcPr>
            <w:tcW w:w="709" w:type="dxa"/>
            <w:vAlign w:val="center"/>
          </w:tcPr>
          <w:p>
            <w:pPr>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处理机关</w:t>
            </w:r>
          </w:p>
        </w:tc>
        <w:tc>
          <w:tcPr>
            <w:tcW w:w="711" w:type="dxa"/>
            <w:vAlign w:val="center"/>
          </w:tcPr>
          <w:p>
            <w:pPr>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710" w:type="dxa"/>
            <w:vAlign w:val="center"/>
          </w:tcPr>
          <w:p>
            <w:pPr>
              <w:snapToGrid w:val="0"/>
              <w:spacing w:line="240" w:lineRule="auto"/>
              <w:jc w:val="center"/>
              <w:rPr>
                <w:rFonts w:ascii="宋体" w:hAnsi="宋体" w:eastAsia="宋体" w:cs="宋体"/>
                <w:sz w:val="21"/>
                <w:szCs w:val="21"/>
              </w:rPr>
            </w:pPr>
          </w:p>
        </w:tc>
        <w:tc>
          <w:tcPr>
            <w:tcW w:w="709" w:type="dxa"/>
            <w:vAlign w:val="center"/>
          </w:tcPr>
          <w:p>
            <w:pPr>
              <w:snapToGrid w:val="0"/>
              <w:spacing w:line="240" w:lineRule="auto"/>
              <w:jc w:val="center"/>
              <w:rPr>
                <w:rFonts w:ascii="宋体" w:hAnsi="宋体" w:eastAsia="宋体" w:cs="宋体"/>
                <w:sz w:val="21"/>
                <w:szCs w:val="21"/>
              </w:rPr>
            </w:pPr>
          </w:p>
        </w:tc>
        <w:tc>
          <w:tcPr>
            <w:tcW w:w="710" w:type="dxa"/>
            <w:vAlign w:val="center"/>
          </w:tcPr>
          <w:p>
            <w:pPr>
              <w:snapToGrid w:val="0"/>
              <w:spacing w:line="240" w:lineRule="auto"/>
              <w:jc w:val="center"/>
              <w:rPr>
                <w:rFonts w:ascii="宋体" w:hAnsi="宋体" w:eastAsia="宋体" w:cs="宋体"/>
                <w:sz w:val="21"/>
                <w:szCs w:val="21"/>
              </w:rPr>
            </w:pPr>
          </w:p>
        </w:tc>
        <w:tc>
          <w:tcPr>
            <w:tcW w:w="709" w:type="dxa"/>
            <w:vAlign w:val="center"/>
          </w:tcPr>
          <w:p>
            <w:pPr>
              <w:snapToGrid w:val="0"/>
              <w:spacing w:line="240" w:lineRule="auto"/>
              <w:jc w:val="center"/>
              <w:rPr>
                <w:rFonts w:ascii="宋体" w:hAnsi="宋体" w:eastAsia="宋体" w:cs="宋体"/>
                <w:sz w:val="21"/>
                <w:szCs w:val="21"/>
              </w:rPr>
            </w:pPr>
          </w:p>
        </w:tc>
        <w:tc>
          <w:tcPr>
            <w:tcW w:w="710" w:type="dxa"/>
            <w:vAlign w:val="center"/>
          </w:tcPr>
          <w:p>
            <w:pPr>
              <w:snapToGrid w:val="0"/>
              <w:spacing w:line="240" w:lineRule="auto"/>
              <w:jc w:val="center"/>
              <w:rPr>
                <w:rFonts w:ascii="宋体" w:hAnsi="宋体" w:eastAsia="宋体" w:cs="宋体"/>
                <w:sz w:val="21"/>
                <w:szCs w:val="21"/>
              </w:rPr>
            </w:pPr>
          </w:p>
        </w:tc>
        <w:tc>
          <w:tcPr>
            <w:tcW w:w="709" w:type="dxa"/>
            <w:vAlign w:val="center"/>
          </w:tcPr>
          <w:p>
            <w:pPr>
              <w:snapToGrid w:val="0"/>
              <w:spacing w:line="240" w:lineRule="auto"/>
              <w:jc w:val="center"/>
              <w:rPr>
                <w:rFonts w:ascii="宋体" w:hAnsi="宋体" w:eastAsia="宋体" w:cs="宋体"/>
                <w:sz w:val="21"/>
                <w:szCs w:val="21"/>
              </w:rPr>
            </w:pPr>
          </w:p>
        </w:tc>
        <w:tc>
          <w:tcPr>
            <w:tcW w:w="710" w:type="dxa"/>
            <w:vAlign w:val="center"/>
          </w:tcPr>
          <w:p>
            <w:pPr>
              <w:snapToGrid w:val="0"/>
              <w:spacing w:line="240" w:lineRule="auto"/>
              <w:jc w:val="center"/>
              <w:rPr>
                <w:rFonts w:ascii="宋体" w:hAnsi="宋体" w:eastAsia="宋体" w:cs="宋体"/>
                <w:sz w:val="21"/>
                <w:szCs w:val="21"/>
              </w:rPr>
            </w:pPr>
          </w:p>
        </w:tc>
        <w:tc>
          <w:tcPr>
            <w:tcW w:w="710" w:type="dxa"/>
            <w:vAlign w:val="center"/>
          </w:tcPr>
          <w:p>
            <w:pPr>
              <w:snapToGrid w:val="0"/>
              <w:spacing w:line="240" w:lineRule="auto"/>
              <w:jc w:val="center"/>
              <w:rPr>
                <w:rFonts w:ascii="宋体" w:hAnsi="宋体" w:eastAsia="宋体" w:cs="宋体"/>
                <w:sz w:val="21"/>
                <w:szCs w:val="21"/>
              </w:rPr>
            </w:pPr>
          </w:p>
        </w:tc>
        <w:tc>
          <w:tcPr>
            <w:tcW w:w="709" w:type="dxa"/>
            <w:vAlign w:val="center"/>
          </w:tcPr>
          <w:p>
            <w:pPr>
              <w:snapToGrid w:val="0"/>
              <w:spacing w:line="240" w:lineRule="auto"/>
              <w:jc w:val="center"/>
              <w:rPr>
                <w:rFonts w:ascii="宋体" w:hAnsi="宋体" w:eastAsia="宋体" w:cs="宋体"/>
                <w:sz w:val="21"/>
                <w:szCs w:val="21"/>
              </w:rPr>
            </w:pPr>
          </w:p>
        </w:tc>
        <w:tc>
          <w:tcPr>
            <w:tcW w:w="710" w:type="dxa"/>
            <w:vAlign w:val="center"/>
          </w:tcPr>
          <w:p>
            <w:pPr>
              <w:snapToGrid w:val="0"/>
              <w:spacing w:line="240" w:lineRule="auto"/>
              <w:jc w:val="center"/>
              <w:rPr>
                <w:rFonts w:ascii="宋体" w:hAnsi="宋体" w:eastAsia="宋体" w:cs="宋体"/>
                <w:bCs/>
                <w:sz w:val="21"/>
                <w:szCs w:val="21"/>
              </w:rPr>
            </w:pPr>
          </w:p>
        </w:tc>
        <w:tc>
          <w:tcPr>
            <w:tcW w:w="709" w:type="dxa"/>
            <w:vAlign w:val="center"/>
          </w:tcPr>
          <w:p>
            <w:pPr>
              <w:snapToGrid w:val="0"/>
              <w:spacing w:line="240" w:lineRule="auto"/>
              <w:jc w:val="center"/>
              <w:rPr>
                <w:rFonts w:ascii="宋体" w:hAnsi="宋体" w:eastAsia="宋体" w:cs="宋体"/>
                <w:bCs/>
                <w:sz w:val="21"/>
                <w:szCs w:val="21"/>
              </w:rPr>
            </w:pPr>
          </w:p>
        </w:tc>
        <w:tc>
          <w:tcPr>
            <w:tcW w:w="711" w:type="dxa"/>
            <w:vAlign w:val="center"/>
          </w:tcPr>
          <w:p>
            <w:pPr>
              <w:snapToGrid w:val="0"/>
              <w:spacing w:line="240" w:lineRule="auto"/>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710" w:type="dxa"/>
            <w:vAlign w:val="center"/>
          </w:tcPr>
          <w:p>
            <w:pPr>
              <w:snapToGrid w:val="0"/>
              <w:spacing w:line="240" w:lineRule="auto"/>
              <w:jc w:val="center"/>
              <w:rPr>
                <w:rFonts w:ascii="宋体" w:hAnsi="宋体" w:eastAsia="宋体" w:cs="宋体"/>
                <w:sz w:val="21"/>
                <w:szCs w:val="21"/>
              </w:rPr>
            </w:pPr>
          </w:p>
        </w:tc>
        <w:tc>
          <w:tcPr>
            <w:tcW w:w="709" w:type="dxa"/>
            <w:vAlign w:val="center"/>
          </w:tcPr>
          <w:p>
            <w:pPr>
              <w:snapToGrid w:val="0"/>
              <w:spacing w:line="240" w:lineRule="auto"/>
              <w:jc w:val="center"/>
              <w:rPr>
                <w:rFonts w:ascii="宋体" w:hAnsi="宋体" w:eastAsia="宋体" w:cs="宋体"/>
                <w:sz w:val="21"/>
                <w:szCs w:val="21"/>
              </w:rPr>
            </w:pPr>
          </w:p>
        </w:tc>
        <w:tc>
          <w:tcPr>
            <w:tcW w:w="710" w:type="dxa"/>
            <w:vAlign w:val="center"/>
          </w:tcPr>
          <w:p>
            <w:pPr>
              <w:snapToGrid w:val="0"/>
              <w:spacing w:line="240" w:lineRule="auto"/>
              <w:jc w:val="center"/>
              <w:rPr>
                <w:rFonts w:ascii="宋体" w:hAnsi="宋体" w:eastAsia="宋体" w:cs="宋体"/>
                <w:sz w:val="21"/>
                <w:szCs w:val="21"/>
              </w:rPr>
            </w:pPr>
          </w:p>
        </w:tc>
        <w:tc>
          <w:tcPr>
            <w:tcW w:w="709" w:type="dxa"/>
            <w:vAlign w:val="center"/>
          </w:tcPr>
          <w:p>
            <w:pPr>
              <w:snapToGrid w:val="0"/>
              <w:spacing w:line="240" w:lineRule="auto"/>
              <w:jc w:val="center"/>
              <w:rPr>
                <w:rFonts w:ascii="宋体" w:hAnsi="宋体" w:eastAsia="宋体" w:cs="宋体"/>
                <w:sz w:val="21"/>
                <w:szCs w:val="21"/>
              </w:rPr>
            </w:pPr>
          </w:p>
        </w:tc>
        <w:tc>
          <w:tcPr>
            <w:tcW w:w="710" w:type="dxa"/>
            <w:vAlign w:val="center"/>
          </w:tcPr>
          <w:p>
            <w:pPr>
              <w:snapToGrid w:val="0"/>
              <w:spacing w:line="240" w:lineRule="auto"/>
              <w:jc w:val="center"/>
              <w:rPr>
                <w:rFonts w:ascii="宋体" w:hAnsi="宋体" w:eastAsia="宋体" w:cs="宋体"/>
                <w:sz w:val="21"/>
                <w:szCs w:val="21"/>
              </w:rPr>
            </w:pPr>
          </w:p>
        </w:tc>
        <w:tc>
          <w:tcPr>
            <w:tcW w:w="709" w:type="dxa"/>
            <w:vAlign w:val="center"/>
          </w:tcPr>
          <w:p>
            <w:pPr>
              <w:snapToGrid w:val="0"/>
              <w:spacing w:line="240" w:lineRule="auto"/>
              <w:jc w:val="center"/>
              <w:rPr>
                <w:rFonts w:ascii="宋体" w:hAnsi="宋体" w:eastAsia="宋体" w:cs="宋体"/>
                <w:sz w:val="21"/>
                <w:szCs w:val="21"/>
              </w:rPr>
            </w:pPr>
          </w:p>
        </w:tc>
        <w:tc>
          <w:tcPr>
            <w:tcW w:w="710" w:type="dxa"/>
            <w:vAlign w:val="center"/>
          </w:tcPr>
          <w:p>
            <w:pPr>
              <w:snapToGrid w:val="0"/>
              <w:spacing w:line="240" w:lineRule="auto"/>
              <w:jc w:val="center"/>
              <w:rPr>
                <w:rFonts w:ascii="宋体" w:hAnsi="宋体" w:eastAsia="宋体" w:cs="宋体"/>
                <w:sz w:val="21"/>
                <w:szCs w:val="21"/>
              </w:rPr>
            </w:pPr>
          </w:p>
        </w:tc>
        <w:tc>
          <w:tcPr>
            <w:tcW w:w="710" w:type="dxa"/>
            <w:vAlign w:val="center"/>
          </w:tcPr>
          <w:p>
            <w:pPr>
              <w:snapToGrid w:val="0"/>
              <w:spacing w:line="240" w:lineRule="auto"/>
              <w:jc w:val="center"/>
              <w:rPr>
                <w:rFonts w:ascii="宋体" w:hAnsi="宋体" w:eastAsia="宋体" w:cs="宋体"/>
                <w:sz w:val="21"/>
                <w:szCs w:val="21"/>
              </w:rPr>
            </w:pPr>
          </w:p>
        </w:tc>
        <w:tc>
          <w:tcPr>
            <w:tcW w:w="709" w:type="dxa"/>
            <w:vAlign w:val="center"/>
          </w:tcPr>
          <w:p>
            <w:pPr>
              <w:snapToGrid w:val="0"/>
              <w:spacing w:line="240" w:lineRule="auto"/>
              <w:jc w:val="center"/>
              <w:rPr>
                <w:rFonts w:ascii="宋体" w:hAnsi="宋体" w:eastAsia="宋体" w:cs="宋体"/>
                <w:sz w:val="21"/>
                <w:szCs w:val="21"/>
              </w:rPr>
            </w:pPr>
          </w:p>
        </w:tc>
        <w:tc>
          <w:tcPr>
            <w:tcW w:w="710" w:type="dxa"/>
            <w:vAlign w:val="center"/>
          </w:tcPr>
          <w:p>
            <w:pPr>
              <w:snapToGrid w:val="0"/>
              <w:spacing w:line="240" w:lineRule="auto"/>
              <w:jc w:val="center"/>
              <w:rPr>
                <w:rFonts w:ascii="宋体" w:hAnsi="宋体" w:eastAsia="宋体" w:cs="宋体"/>
                <w:bCs/>
                <w:sz w:val="21"/>
                <w:szCs w:val="21"/>
              </w:rPr>
            </w:pPr>
          </w:p>
        </w:tc>
        <w:tc>
          <w:tcPr>
            <w:tcW w:w="709" w:type="dxa"/>
            <w:vAlign w:val="center"/>
          </w:tcPr>
          <w:p>
            <w:pPr>
              <w:snapToGrid w:val="0"/>
              <w:spacing w:line="240" w:lineRule="auto"/>
              <w:jc w:val="center"/>
              <w:rPr>
                <w:rFonts w:ascii="宋体" w:hAnsi="宋体" w:eastAsia="宋体" w:cs="宋体"/>
                <w:bCs/>
                <w:sz w:val="21"/>
                <w:szCs w:val="21"/>
              </w:rPr>
            </w:pPr>
          </w:p>
        </w:tc>
        <w:tc>
          <w:tcPr>
            <w:tcW w:w="711" w:type="dxa"/>
            <w:vAlign w:val="center"/>
          </w:tcPr>
          <w:p>
            <w:pPr>
              <w:snapToGrid w:val="0"/>
              <w:spacing w:line="240" w:lineRule="auto"/>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710" w:type="dxa"/>
            <w:vAlign w:val="center"/>
          </w:tcPr>
          <w:p>
            <w:pPr>
              <w:snapToGrid w:val="0"/>
              <w:spacing w:line="240" w:lineRule="auto"/>
              <w:jc w:val="center"/>
              <w:rPr>
                <w:rFonts w:ascii="宋体" w:hAnsi="宋体" w:eastAsia="宋体" w:cs="宋体"/>
                <w:sz w:val="21"/>
                <w:szCs w:val="21"/>
              </w:rPr>
            </w:pPr>
          </w:p>
        </w:tc>
        <w:tc>
          <w:tcPr>
            <w:tcW w:w="709" w:type="dxa"/>
            <w:vAlign w:val="center"/>
          </w:tcPr>
          <w:p>
            <w:pPr>
              <w:snapToGrid w:val="0"/>
              <w:spacing w:line="240" w:lineRule="auto"/>
              <w:jc w:val="center"/>
              <w:rPr>
                <w:rFonts w:ascii="宋体" w:hAnsi="宋体" w:eastAsia="宋体" w:cs="宋体"/>
                <w:sz w:val="21"/>
                <w:szCs w:val="21"/>
              </w:rPr>
            </w:pPr>
          </w:p>
        </w:tc>
        <w:tc>
          <w:tcPr>
            <w:tcW w:w="710" w:type="dxa"/>
            <w:vAlign w:val="center"/>
          </w:tcPr>
          <w:p>
            <w:pPr>
              <w:snapToGrid w:val="0"/>
              <w:spacing w:line="240" w:lineRule="auto"/>
              <w:jc w:val="center"/>
              <w:rPr>
                <w:rFonts w:ascii="宋体" w:hAnsi="宋体" w:eastAsia="宋体" w:cs="宋体"/>
                <w:sz w:val="21"/>
                <w:szCs w:val="21"/>
              </w:rPr>
            </w:pPr>
          </w:p>
        </w:tc>
        <w:tc>
          <w:tcPr>
            <w:tcW w:w="709" w:type="dxa"/>
            <w:vAlign w:val="center"/>
          </w:tcPr>
          <w:p>
            <w:pPr>
              <w:snapToGrid w:val="0"/>
              <w:spacing w:line="240" w:lineRule="auto"/>
              <w:jc w:val="center"/>
              <w:rPr>
                <w:rFonts w:ascii="宋体" w:hAnsi="宋体" w:eastAsia="宋体" w:cs="宋体"/>
                <w:sz w:val="21"/>
                <w:szCs w:val="21"/>
              </w:rPr>
            </w:pPr>
          </w:p>
        </w:tc>
        <w:tc>
          <w:tcPr>
            <w:tcW w:w="710" w:type="dxa"/>
            <w:vAlign w:val="center"/>
          </w:tcPr>
          <w:p>
            <w:pPr>
              <w:snapToGrid w:val="0"/>
              <w:spacing w:line="240" w:lineRule="auto"/>
              <w:jc w:val="center"/>
              <w:rPr>
                <w:rFonts w:ascii="宋体" w:hAnsi="宋体" w:eastAsia="宋体" w:cs="宋体"/>
                <w:sz w:val="21"/>
                <w:szCs w:val="21"/>
              </w:rPr>
            </w:pPr>
          </w:p>
        </w:tc>
        <w:tc>
          <w:tcPr>
            <w:tcW w:w="709" w:type="dxa"/>
            <w:vAlign w:val="center"/>
          </w:tcPr>
          <w:p>
            <w:pPr>
              <w:snapToGrid w:val="0"/>
              <w:spacing w:line="240" w:lineRule="auto"/>
              <w:jc w:val="center"/>
              <w:rPr>
                <w:rFonts w:ascii="宋体" w:hAnsi="宋体" w:eastAsia="宋体" w:cs="宋体"/>
                <w:sz w:val="21"/>
                <w:szCs w:val="21"/>
              </w:rPr>
            </w:pPr>
          </w:p>
        </w:tc>
        <w:tc>
          <w:tcPr>
            <w:tcW w:w="710" w:type="dxa"/>
            <w:vAlign w:val="center"/>
          </w:tcPr>
          <w:p>
            <w:pPr>
              <w:snapToGrid w:val="0"/>
              <w:spacing w:line="240" w:lineRule="auto"/>
              <w:jc w:val="center"/>
              <w:rPr>
                <w:rFonts w:ascii="宋体" w:hAnsi="宋体" w:eastAsia="宋体" w:cs="宋体"/>
                <w:sz w:val="21"/>
                <w:szCs w:val="21"/>
              </w:rPr>
            </w:pPr>
          </w:p>
        </w:tc>
        <w:tc>
          <w:tcPr>
            <w:tcW w:w="710" w:type="dxa"/>
            <w:vAlign w:val="center"/>
          </w:tcPr>
          <w:p>
            <w:pPr>
              <w:snapToGrid w:val="0"/>
              <w:spacing w:line="240" w:lineRule="auto"/>
              <w:jc w:val="center"/>
              <w:rPr>
                <w:rFonts w:ascii="宋体" w:hAnsi="宋体" w:eastAsia="宋体" w:cs="宋体"/>
                <w:sz w:val="21"/>
                <w:szCs w:val="21"/>
              </w:rPr>
            </w:pPr>
          </w:p>
        </w:tc>
        <w:tc>
          <w:tcPr>
            <w:tcW w:w="709" w:type="dxa"/>
            <w:vAlign w:val="center"/>
          </w:tcPr>
          <w:p>
            <w:pPr>
              <w:snapToGrid w:val="0"/>
              <w:spacing w:line="240" w:lineRule="auto"/>
              <w:jc w:val="center"/>
              <w:rPr>
                <w:rFonts w:ascii="宋体" w:hAnsi="宋体" w:eastAsia="宋体" w:cs="宋体"/>
                <w:sz w:val="21"/>
                <w:szCs w:val="21"/>
              </w:rPr>
            </w:pPr>
          </w:p>
        </w:tc>
        <w:tc>
          <w:tcPr>
            <w:tcW w:w="710" w:type="dxa"/>
            <w:vAlign w:val="center"/>
          </w:tcPr>
          <w:p>
            <w:pPr>
              <w:snapToGrid w:val="0"/>
              <w:spacing w:line="240" w:lineRule="auto"/>
              <w:jc w:val="center"/>
              <w:rPr>
                <w:rFonts w:ascii="宋体" w:hAnsi="宋体" w:eastAsia="宋体" w:cs="宋体"/>
                <w:bCs/>
                <w:sz w:val="21"/>
                <w:szCs w:val="21"/>
              </w:rPr>
            </w:pPr>
          </w:p>
        </w:tc>
        <w:tc>
          <w:tcPr>
            <w:tcW w:w="709" w:type="dxa"/>
            <w:vAlign w:val="center"/>
          </w:tcPr>
          <w:p>
            <w:pPr>
              <w:snapToGrid w:val="0"/>
              <w:spacing w:line="240" w:lineRule="auto"/>
              <w:jc w:val="center"/>
              <w:rPr>
                <w:rFonts w:ascii="宋体" w:hAnsi="宋体" w:eastAsia="宋体" w:cs="宋体"/>
                <w:bCs/>
                <w:sz w:val="21"/>
                <w:szCs w:val="21"/>
              </w:rPr>
            </w:pPr>
          </w:p>
        </w:tc>
        <w:tc>
          <w:tcPr>
            <w:tcW w:w="711" w:type="dxa"/>
            <w:vAlign w:val="center"/>
          </w:tcPr>
          <w:p>
            <w:pPr>
              <w:snapToGrid w:val="0"/>
              <w:spacing w:line="240" w:lineRule="auto"/>
              <w:jc w:val="center"/>
              <w:rPr>
                <w:rFonts w:ascii="宋体" w:hAnsi="宋体" w:eastAsia="宋体" w:cs="宋体"/>
                <w:sz w:val="21"/>
                <w:szCs w:val="21"/>
              </w:rPr>
            </w:pPr>
          </w:p>
        </w:tc>
      </w:tr>
    </w:tbl>
    <w:p>
      <w:pPr>
        <w:spacing w:line="240" w:lineRule="auto"/>
        <w:rPr>
          <w:rFonts w:ascii="宋体" w:hAnsi="宋体" w:eastAsia="宋体" w:cs="宋体"/>
          <w:sz w:val="21"/>
          <w:szCs w:val="21"/>
        </w:rPr>
      </w:pPr>
      <w:r>
        <w:rPr>
          <w:rFonts w:hint="eastAsia" w:ascii="宋体" w:hAnsi="宋体" w:eastAsia="宋体" w:cs="宋体"/>
          <w:sz w:val="21"/>
          <w:szCs w:val="21"/>
        </w:rPr>
        <w:t>注：1.由认定单位填写、盖章。</w:t>
      </w:r>
    </w:p>
    <w:p>
      <w:pPr>
        <w:spacing w:line="240" w:lineRule="auto"/>
        <w:ind w:firstLine="420" w:firstLineChars="200"/>
        <w:jc w:val="left"/>
        <w:rPr>
          <w:rFonts w:ascii="宋体" w:hAnsi="宋体" w:eastAsia="宋体" w:cs="宋体"/>
          <w:bCs/>
          <w:sz w:val="21"/>
          <w:szCs w:val="21"/>
        </w:rPr>
      </w:pPr>
      <w:r>
        <w:rPr>
          <w:rFonts w:hint="eastAsia" w:ascii="宋体" w:hAnsi="宋体" w:eastAsia="宋体" w:cs="宋体"/>
          <w:bCs/>
          <w:sz w:val="21"/>
          <w:szCs w:val="21"/>
        </w:rPr>
        <w:t>2.省水资源管理集团和省级水行政主管部门直属部门（单位）参照此文件进行信息报送。</w:t>
      </w:r>
    </w:p>
    <w:p>
      <w:pPr>
        <w:spacing w:line="240" w:lineRule="auto"/>
        <w:jc w:val="left"/>
        <w:rPr>
          <w:rFonts w:ascii="宋体" w:hAnsi="宋体" w:eastAsia="宋体" w:cs="宋体"/>
          <w:sz w:val="21"/>
          <w:szCs w:val="21"/>
        </w:rPr>
      </w:pPr>
      <w:r>
        <w:rPr>
          <w:rFonts w:hint="eastAsia" w:ascii="宋体" w:hAnsi="宋体" w:eastAsia="宋体" w:cs="宋体"/>
          <w:bCs/>
          <w:sz w:val="21"/>
          <w:szCs w:val="21"/>
        </w:rPr>
        <w:t xml:space="preserve">    3.相关文件均需盖章,并报送纸板和电子版。</w:t>
      </w:r>
    </w:p>
    <w:p>
      <w:pPr>
        <w:rPr>
          <w:rFonts w:ascii="仿宋_GB2312" w:hAnsi="Times New Roman" w:eastAsia="仿宋_GB2312" w:cs="Times New Roman"/>
          <w:szCs w:val="21"/>
        </w:rPr>
      </w:pPr>
    </w:p>
    <w:p>
      <w:pPr>
        <w:jc w:val="left"/>
        <w:rPr>
          <w:rFonts w:ascii="仿宋_GB2312" w:hAnsi="Times New Roman" w:eastAsia="仿宋_GB2312" w:cs="Times New Roman"/>
          <w:sz w:val="32"/>
          <w:szCs w:val="32"/>
        </w:rPr>
        <w:sectPr>
          <w:pgSz w:w="11906" w:h="16838"/>
          <w:pgMar w:top="2098" w:right="1474" w:bottom="1985" w:left="1588" w:header="851" w:footer="992" w:gutter="0"/>
          <w:pgNumType w:fmt="numberInDash"/>
          <w:cols w:space="720" w:num="1"/>
          <w:docGrid w:type="linesAndChars" w:linePitch="319" w:charSpace="0"/>
        </w:sectPr>
      </w:pPr>
    </w:p>
    <w:p>
      <w:pPr>
        <w:jc w:val="center"/>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附表8-3  信用修复申请书</w:t>
      </w:r>
    </w:p>
    <w:p>
      <w:pPr>
        <w:rPr>
          <w:rFonts w:ascii="宋体" w:hAnsi="宋体" w:eastAsia="宋体" w:cs="宋体"/>
          <w:sz w:val="21"/>
          <w:szCs w:val="21"/>
        </w:rPr>
      </w:pPr>
      <w:r>
        <w:rPr>
          <w:rFonts w:hint="eastAsia" w:ascii="宋体" w:hAnsi="宋体" w:eastAsia="宋体" w:cs="宋体"/>
          <w:sz w:val="21"/>
          <w:szCs w:val="21"/>
        </w:rPr>
        <w:t xml:space="preserve">申请单位（盖章）： </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3466"/>
        <w:gridCol w:w="1862"/>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2" w:type="dxa"/>
            <w:vAlign w:val="center"/>
          </w:tcPr>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单位名称</w:t>
            </w:r>
          </w:p>
        </w:tc>
        <w:tc>
          <w:tcPr>
            <w:tcW w:w="3466" w:type="dxa"/>
            <w:vAlign w:val="center"/>
          </w:tcPr>
          <w:p>
            <w:pPr>
              <w:snapToGrid w:val="0"/>
              <w:spacing w:line="240" w:lineRule="auto"/>
              <w:jc w:val="center"/>
              <w:rPr>
                <w:rFonts w:ascii="宋体" w:hAnsi="宋体" w:eastAsia="宋体" w:cs="宋体"/>
                <w:sz w:val="21"/>
                <w:szCs w:val="21"/>
              </w:rPr>
            </w:pPr>
          </w:p>
        </w:tc>
        <w:tc>
          <w:tcPr>
            <w:tcW w:w="1862" w:type="dxa"/>
            <w:vAlign w:val="center"/>
          </w:tcPr>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姓名</w:t>
            </w:r>
          </w:p>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（法人代表）</w:t>
            </w:r>
          </w:p>
        </w:tc>
        <w:tc>
          <w:tcPr>
            <w:tcW w:w="2110" w:type="dxa"/>
            <w:vAlign w:val="center"/>
          </w:tcPr>
          <w:p>
            <w:pPr>
              <w:snapToGrid w:val="0"/>
              <w:spacing w:line="240" w:lineRule="auto"/>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2" w:type="dxa"/>
            <w:vAlign w:val="center"/>
          </w:tcPr>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性别</w:t>
            </w:r>
          </w:p>
        </w:tc>
        <w:tc>
          <w:tcPr>
            <w:tcW w:w="3466" w:type="dxa"/>
            <w:vAlign w:val="center"/>
          </w:tcPr>
          <w:p>
            <w:pPr>
              <w:snapToGrid w:val="0"/>
              <w:spacing w:line="240" w:lineRule="auto"/>
              <w:jc w:val="center"/>
              <w:rPr>
                <w:rFonts w:ascii="宋体" w:hAnsi="宋体" w:eastAsia="宋体" w:cs="宋体"/>
                <w:sz w:val="21"/>
                <w:szCs w:val="21"/>
              </w:rPr>
            </w:pPr>
          </w:p>
        </w:tc>
        <w:tc>
          <w:tcPr>
            <w:tcW w:w="1862" w:type="dxa"/>
            <w:vAlign w:val="center"/>
          </w:tcPr>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身份证号</w:t>
            </w:r>
          </w:p>
        </w:tc>
        <w:tc>
          <w:tcPr>
            <w:tcW w:w="2110" w:type="dxa"/>
            <w:vAlign w:val="center"/>
          </w:tcPr>
          <w:p>
            <w:pPr>
              <w:snapToGrid w:val="0"/>
              <w:spacing w:line="240" w:lineRule="auto"/>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2" w:type="dxa"/>
            <w:vAlign w:val="center"/>
          </w:tcPr>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职务</w:t>
            </w:r>
          </w:p>
        </w:tc>
        <w:tc>
          <w:tcPr>
            <w:tcW w:w="3466" w:type="dxa"/>
            <w:vAlign w:val="center"/>
          </w:tcPr>
          <w:p>
            <w:pPr>
              <w:snapToGrid w:val="0"/>
              <w:spacing w:line="240" w:lineRule="auto"/>
              <w:jc w:val="center"/>
              <w:rPr>
                <w:rFonts w:ascii="宋体" w:hAnsi="宋体" w:eastAsia="宋体" w:cs="宋体"/>
                <w:sz w:val="21"/>
                <w:szCs w:val="21"/>
              </w:rPr>
            </w:pPr>
          </w:p>
        </w:tc>
        <w:tc>
          <w:tcPr>
            <w:tcW w:w="1862" w:type="dxa"/>
            <w:vAlign w:val="center"/>
          </w:tcPr>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联系电话</w:t>
            </w:r>
          </w:p>
        </w:tc>
        <w:tc>
          <w:tcPr>
            <w:tcW w:w="2110" w:type="dxa"/>
            <w:vAlign w:val="center"/>
          </w:tcPr>
          <w:p>
            <w:pPr>
              <w:snapToGrid w:val="0"/>
              <w:spacing w:line="240" w:lineRule="auto"/>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2" w:type="dxa"/>
            <w:vAlign w:val="center"/>
          </w:tcPr>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公司地址</w:t>
            </w:r>
          </w:p>
        </w:tc>
        <w:tc>
          <w:tcPr>
            <w:tcW w:w="3466" w:type="dxa"/>
            <w:vAlign w:val="center"/>
          </w:tcPr>
          <w:p>
            <w:pPr>
              <w:snapToGrid w:val="0"/>
              <w:spacing w:line="240" w:lineRule="auto"/>
              <w:jc w:val="center"/>
              <w:rPr>
                <w:rFonts w:ascii="宋体" w:hAnsi="宋体" w:eastAsia="宋体" w:cs="宋体"/>
                <w:sz w:val="21"/>
                <w:szCs w:val="21"/>
              </w:rPr>
            </w:pPr>
          </w:p>
        </w:tc>
        <w:tc>
          <w:tcPr>
            <w:tcW w:w="1862" w:type="dxa"/>
            <w:vAlign w:val="center"/>
          </w:tcPr>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统一社会</w:t>
            </w:r>
          </w:p>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信用代码</w:t>
            </w:r>
          </w:p>
        </w:tc>
        <w:tc>
          <w:tcPr>
            <w:tcW w:w="2110" w:type="dxa"/>
            <w:vAlign w:val="center"/>
          </w:tcPr>
          <w:p>
            <w:pPr>
              <w:snapToGrid w:val="0"/>
              <w:spacing w:line="240" w:lineRule="auto"/>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1622" w:type="dxa"/>
            <w:vAlign w:val="center"/>
          </w:tcPr>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不良行为处理基本情况</w:t>
            </w:r>
          </w:p>
        </w:tc>
        <w:tc>
          <w:tcPr>
            <w:tcW w:w="7438" w:type="dxa"/>
            <w:gridSpan w:val="3"/>
            <w:vAlign w:val="center"/>
          </w:tcPr>
          <w:p>
            <w:pPr>
              <w:snapToGrid w:val="0"/>
              <w:spacing w:line="240" w:lineRule="auto"/>
              <w:ind w:firstLine="420" w:firstLineChars="200"/>
              <w:jc w:val="left"/>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1622" w:type="dxa"/>
            <w:vAlign w:val="center"/>
          </w:tcPr>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不良行为记录信息类别</w:t>
            </w:r>
          </w:p>
        </w:tc>
        <w:tc>
          <w:tcPr>
            <w:tcW w:w="7438" w:type="dxa"/>
            <w:gridSpan w:val="3"/>
            <w:vAlign w:val="center"/>
          </w:tcPr>
          <w:p>
            <w:pPr>
              <w:snapToGrid w:val="0"/>
              <w:spacing w:line="240" w:lineRule="auto"/>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622" w:type="dxa"/>
            <w:vAlign w:val="center"/>
          </w:tcPr>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申请修复依据</w:t>
            </w:r>
          </w:p>
        </w:tc>
        <w:tc>
          <w:tcPr>
            <w:tcW w:w="7438" w:type="dxa"/>
            <w:gridSpan w:val="3"/>
            <w:vAlign w:val="center"/>
          </w:tcPr>
          <w:p>
            <w:pPr>
              <w:snapToGrid w:val="0"/>
              <w:spacing w:line="240" w:lineRule="auto"/>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622" w:type="dxa"/>
            <w:vAlign w:val="center"/>
          </w:tcPr>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申请修复措施</w:t>
            </w:r>
          </w:p>
        </w:tc>
        <w:tc>
          <w:tcPr>
            <w:tcW w:w="7438" w:type="dxa"/>
            <w:gridSpan w:val="3"/>
            <w:vAlign w:val="center"/>
          </w:tcPr>
          <w:p>
            <w:pPr>
              <w:snapToGrid w:val="0"/>
              <w:spacing w:line="240" w:lineRule="auto"/>
              <w:ind w:firstLine="420" w:firstLineChars="200"/>
              <w:jc w:val="left"/>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6" w:hRule="atLeast"/>
        </w:trPr>
        <w:tc>
          <w:tcPr>
            <w:tcW w:w="1622" w:type="dxa"/>
            <w:vAlign w:val="center"/>
          </w:tcPr>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信用修复成效</w:t>
            </w:r>
          </w:p>
        </w:tc>
        <w:tc>
          <w:tcPr>
            <w:tcW w:w="7438" w:type="dxa"/>
            <w:gridSpan w:val="3"/>
            <w:vAlign w:val="center"/>
          </w:tcPr>
          <w:p>
            <w:pPr>
              <w:snapToGrid w:val="0"/>
              <w:spacing w:line="240" w:lineRule="auto"/>
              <w:ind w:firstLine="420" w:firstLineChars="200"/>
              <w:jc w:val="left"/>
              <w:rPr>
                <w:rFonts w:ascii="宋体" w:hAnsi="宋体" w:eastAsia="宋体" w:cs="宋体"/>
                <w:sz w:val="21"/>
                <w:szCs w:val="21"/>
              </w:rPr>
            </w:pPr>
          </w:p>
          <w:p>
            <w:pPr>
              <w:snapToGrid w:val="0"/>
              <w:spacing w:line="240" w:lineRule="auto"/>
              <w:ind w:firstLine="420" w:firstLineChars="200"/>
              <w:jc w:val="left"/>
              <w:rPr>
                <w:rFonts w:ascii="宋体" w:hAnsi="宋体" w:eastAsia="宋体" w:cs="宋体"/>
                <w:sz w:val="21"/>
                <w:szCs w:val="21"/>
              </w:rPr>
            </w:pPr>
          </w:p>
          <w:p>
            <w:pPr>
              <w:snapToGrid w:val="0"/>
              <w:spacing w:line="240" w:lineRule="auto"/>
              <w:ind w:right="420" w:firstLine="4830" w:firstLineChars="2300"/>
              <w:rPr>
                <w:rFonts w:ascii="宋体" w:hAnsi="宋体" w:eastAsia="宋体" w:cs="宋体"/>
                <w:sz w:val="21"/>
                <w:szCs w:val="21"/>
              </w:rPr>
            </w:pPr>
          </w:p>
          <w:p>
            <w:pPr>
              <w:snapToGrid w:val="0"/>
              <w:spacing w:line="240" w:lineRule="auto"/>
              <w:ind w:right="420" w:firstLine="4830" w:firstLineChars="2300"/>
              <w:rPr>
                <w:rFonts w:ascii="宋体" w:hAnsi="宋体" w:eastAsia="宋体" w:cs="宋体"/>
                <w:sz w:val="21"/>
                <w:szCs w:val="21"/>
              </w:rPr>
            </w:pPr>
            <w:r>
              <w:rPr>
                <w:rFonts w:hint="eastAsia" w:ascii="宋体" w:hAnsi="宋体" w:eastAsia="宋体" w:cs="宋体"/>
                <w:sz w:val="21"/>
                <w:szCs w:val="21"/>
              </w:rPr>
              <w:t>认定单位（盖章）</w:t>
            </w:r>
          </w:p>
          <w:p>
            <w:pPr>
              <w:wordWrap w:val="0"/>
              <w:snapToGrid w:val="0"/>
              <w:spacing w:line="240" w:lineRule="auto"/>
              <w:jc w:val="right"/>
              <w:rPr>
                <w:rFonts w:ascii="宋体" w:hAnsi="宋体" w:eastAsia="宋体" w:cs="宋体"/>
                <w:sz w:val="21"/>
                <w:szCs w:val="21"/>
              </w:rPr>
            </w:pPr>
            <w:r>
              <w:rPr>
                <w:rFonts w:hint="eastAsia" w:ascii="宋体" w:hAnsi="宋体" w:eastAsia="宋体" w:cs="宋体"/>
                <w:sz w:val="21"/>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trPr>
        <w:tc>
          <w:tcPr>
            <w:tcW w:w="1622" w:type="dxa"/>
            <w:vAlign w:val="center"/>
          </w:tcPr>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县级水行政主管部门意见</w:t>
            </w:r>
          </w:p>
        </w:tc>
        <w:tc>
          <w:tcPr>
            <w:tcW w:w="7438" w:type="dxa"/>
            <w:gridSpan w:val="3"/>
            <w:vAlign w:val="center"/>
          </w:tcPr>
          <w:p>
            <w:pPr>
              <w:snapToGrid w:val="0"/>
              <w:spacing w:line="240" w:lineRule="auto"/>
              <w:jc w:val="right"/>
              <w:rPr>
                <w:rFonts w:ascii="宋体" w:hAnsi="宋体" w:eastAsia="宋体" w:cs="宋体"/>
                <w:sz w:val="21"/>
                <w:szCs w:val="21"/>
              </w:rPr>
            </w:pPr>
          </w:p>
          <w:p>
            <w:pPr>
              <w:snapToGrid w:val="0"/>
              <w:spacing w:line="240" w:lineRule="auto"/>
              <w:jc w:val="right"/>
              <w:rPr>
                <w:rFonts w:ascii="宋体" w:hAnsi="宋体" w:eastAsia="宋体" w:cs="宋体"/>
                <w:sz w:val="21"/>
                <w:szCs w:val="21"/>
              </w:rPr>
            </w:pPr>
          </w:p>
          <w:p>
            <w:pPr>
              <w:wordWrap w:val="0"/>
              <w:snapToGrid w:val="0"/>
              <w:spacing w:line="240" w:lineRule="auto"/>
              <w:jc w:val="right"/>
              <w:rPr>
                <w:rFonts w:ascii="宋体" w:hAnsi="宋体" w:eastAsia="宋体" w:cs="宋体"/>
                <w:sz w:val="21"/>
                <w:szCs w:val="21"/>
              </w:rPr>
            </w:pPr>
            <w:r>
              <w:rPr>
                <w:rFonts w:hint="eastAsia" w:ascii="宋体" w:hAnsi="宋体" w:eastAsia="宋体" w:cs="宋体"/>
                <w:sz w:val="21"/>
                <w:szCs w:val="21"/>
              </w:rPr>
              <w:t xml:space="preserve">（盖章）       </w:t>
            </w:r>
          </w:p>
          <w:p>
            <w:pPr>
              <w:wordWrap w:val="0"/>
              <w:snapToGrid w:val="0"/>
              <w:spacing w:line="240" w:lineRule="auto"/>
              <w:jc w:val="right"/>
              <w:rPr>
                <w:rFonts w:ascii="宋体" w:hAnsi="宋体" w:eastAsia="宋体" w:cs="宋体"/>
                <w:sz w:val="21"/>
                <w:szCs w:val="21"/>
              </w:rPr>
            </w:pPr>
            <w:r>
              <w:rPr>
                <w:rFonts w:hint="eastAsia" w:ascii="宋体" w:hAnsi="宋体" w:eastAsia="宋体" w:cs="宋体"/>
                <w:sz w:val="21"/>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1622" w:type="dxa"/>
            <w:vAlign w:val="center"/>
          </w:tcPr>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市级水行政主管部门意见</w:t>
            </w:r>
          </w:p>
        </w:tc>
        <w:tc>
          <w:tcPr>
            <w:tcW w:w="7438" w:type="dxa"/>
            <w:gridSpan w:val="3"/>
            <w:vAlign w:val="center"/>
          </w:tcPr>
          <w:p>
            <w:pPr>
              <w:snapToGrid w:val="0"/>
              <w:spacing w:line="240" w:lineRule="auto"/>
              <w:jc w:val="right"/>
              <w:rPr>
                <w:rFonts w:ascii="宋体" w:hAnsi="宋体" w:eastAsia="宋体" w:cs="宋体"/>
                <w:sz w:val="21"/>
                <w:szCs w:val="21"/>
              </w:rPr>
            </w:pPr>
          </w:p>
          <w:p>
            <w:pPr>
              <w:snapToGrid w:val="0"/>
              <w:spacing w:line="240" w:lineRule="auto"/>
              <w:jc w:val="right"/>
              <w:rPr>
                <w:rFonts w:ascii="宋体" w:hAnsi="宋体" w:eastAsia="宋体" w:cs="宋体"/>
                <w:sz w:val="21"/>
                <w:szCs w:val="21"/>
              </w:rPr>
            </w:pPr>
          </w:p>
          <w:p>
            <w:pPr>
              <w:snapToGrid w:val="0"/>
              <w:spacing w:line="240" w:lineRule="auto"/>
              <w:jc w:val="right"/>
              <w:rPr>
                <w:rFonts w:ascii="宋体" w:hAnsi="宋体" w:eastAsia="宋体" w:cs="宋体"/>
                <w:sz w:val="21"/>
                <w:szCs w:val="21"/>
              </w:rPr>
            </w:pPr>
          </w:p>
          <w:p>
            <w:pPr>
              <w:wordWrap w:val="0"/>
              <w:snapToGrid w:val="0"/>
              <w:spacing w:line="240" w:lineRule="auto"/>
              <w:jc w:val="right"/>
              <w:rPr>
                <w:rFonts w:ascii="宋体" w:hAnsi="宋体" w:eastAsia="宋体" w:cs="宋体"/>
                <w:sz w:val="21"/>
                <w:szCs w:val="21"/>
              </w:rPr>
            </w:pPr>
            <w:r>
              <w:rPr>
                <w:rFonts w:hint="eastAsia" w:ascii="宋体" w:hAnsi="宋体" w:eastAsia="宋体" w:cs="宋体"/>
                <w:sz w:val="21"/>
                <w:szCs w:val="21"/>
              </w:rPr>
              <w:t xml:space="preserve">（盖章）       </w:t>
            </w:r>
          </w:p>
          <w:p>
            <w:pPr>
              <w:wordWrap w:val="0"/>
              <w:snapToGrid w:val="0"/>
              <w:spacing w:line="240" w:lineRule="auto"/>
              <w:jc w:val="right"/>
              <w:rPr>
                <w:rFonts w:ascii="宋体" w:hAnsi="宋体" w:eastAsia="宋体" w:cs="宋体"/>
                <w:sz w:val="21"/>
                <w:szCs w:val="21"/>
              </w:rPr>
            </w:pPr>
            <w:r>
              <w:rPr>
                <w:rFonts w:hint="eastAsia" w:ascii="宋体" w:hAnsi="宋体" w:eastAsia="宋体" w:cs="宋体"/>
                <w:sz w:val="21"/>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trPr>
        <w:tc>
          <w:tcPr>
            <w:tcW w:w="1622" w:type="dxa"/>
            <w:vAlign w:val="center"/>
          </w:tcPr>
          <w:p>
            <w:pPr>
              <w:snapToGrid w:val="0"/>
              <w:spacing w:line="240" w:lineRule="auto"/>
              <w:jc w:val="center"/>
              <w:rPr>
                <w:rFonts w:ascii="宋体" w:hAnsi="宋体" w:eastAsia="宋体" w:cs="宋体"/>
                <w:sz w:val="21"/>
                <w:szCs w:val="21"/>
              </w:rPr>
            </w:pPr>
            <w:r>
              <w:rPr>
                <w:rFonts w:hint="eastAsia" w:ascii="宋体" w:hAnsi="宋体" w:eastAsia="宋体" w:cs="宋体"/>
                <w:sz w:val="21"/>
                <w:szCs w:val="21"/>
              </w:rPr>
              <w:t>省级水行政主管部门意见</w:t>
            </w:r>
          </w:p>
        </w:tc>
        <w:tc>
          <w:tcPr>
            <w:tcW w:w="7438" w:type="dxa"/>
            <w:gridSpan w:val="3"/>
            <w:vAlign w:val="center"/>
          </w:tcPr>
          <w:p>
            <w:pPr>
              <w:snapToGrid w:val="0"/>
              <w:spacing w:line="240" w:lineRule="auto"/>
              <w:jc w:val="right"/>
              <w:rPr>
                <w:rFonts w:ascii="宋体" w:hAnsi="宋体" w:eastAsia="宋体" w:cs="宋体"/>
                <w:sz w:val="21"/>
                <w:szCs w:val="21"/>
              </w:rPr>
            </w:pPr>
          </w:p>
          <w:p>
            <w:pPr>
              <w:snapToGrid w:val="0"/>
              <w:spacing w:line="240" w:lineRule="auto"/>
              <w:jc w:val="right"/>
              <w:rPr>
                <w:rFonts w:ascii="宋体" w:hAnsi="宋体" w:eastAsia="宋体" w:cs="宋体"/>
                <w:sz w:val="21"/>
                <w:szCs w:val="21"/>
              </w:rPr>
            </w:pPr>
          </w:p>
          <w:p>
            <w:pPr>
              <w:snapToGrid w:val="0"/>
              <w:spacing w:line="240" w:lineRule="auto"/>
              <w:jc w:val="right"/>
              <w:rPr>
                <w:rFonts w:ascii="宋体" w:hAnsi="宋体" w:eastAsia="宋体" w:cs="宋体"/>
                <w:sz w:val="21"/>
                <w:szCs w:val="21"/>
              </w:rPr>
            </w:pPr>
          </w:p>
          <w:p>
            <w:pPr>
              <w:wordWrap w:val="0"/>
              <w:snapToGrid w:val="0"/>
              <w:spacing w:line="240" w:lineRule="auto"/>
              <w:jc w:val="right"/>
              <w:rPr>
                <w:rFonts w:ascii="宋体" w:hAnsi="宋体" w:eastAsia="宋体" w:cs="宋体"/>
                <w:sz w:val="21"/>
                <w:szCs w:val="21"/>
              </w:rPr>
            </w:pPr>
            <w:r>
              <w:rPr>
                <w:rFonts w:hint="eastAsia" w:ascii="宋体" w:hAnsi="宋体" w:eastAsia="宋体" w:cs="宋体"/>
                <w:sz w:val="21"/>
                <w:szCs w:val="21"/>
              </w:rPr>
              <w:t xml:space="preserve">（盖章）       </w:t>
            </w:r>
          </w:p>
          <w:p>
            <w:pPr>
              <w:wordWrap w:val="0"/>
              <w:snapToGrid w:val="0"/>
              <w:spacing w:line="240" w:lineRule="auto"/>
              <w:jc w:val="right"/>
              <w:rPr>
                <w:rFonts w:ascii="宋体" w:hAnsi="宋体" w:eastAsia="宋体" w:cs="宋体"/>
                <w:sz w:val="21"/>
                <w:szCs w:val="21"/>
              </w:rPr>
            </w:pPr>
            <w:r>
              <w:rPr>
                <w:rFonts w:hint="eastAsia" w:ascii="宋体" w:hAnsi="宋体" w:eastAsia="宋体" w:cs="宋体"/>
                <w:sz w:val="21"/>
                <w:szCs w:val="21"/>
              </w:rPr>
              <w:t xml:space="preserve">年    月    日    </w:t>
            </w:r>
          </w:p>
        </w:tc>
      </w:tr>
    </w:tbl>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金山简标宋">
    <w:altName w:val="宋体"/>
    <w:panose1 w:val="0201060900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cs="Times New Roman"/>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IqbapW8AQAAYgMAAA4AAAAAAAAAAQAgAAAAHgEAAGRycy9lMm9Eb2MueG1sUEsFBgAAAAAG&#10;AAYAWQEAAEwFAAAAAA==&#10;">
              <v:path/>
              <v:fill on="f" focussize="0,0"/>
              <v:stroke on="f" joinstyle="miter"/>
              <v:imagedata o:title=""/>
              <o:lock v:ext="edit"/>
              <v:textbox inset="0mm,0mm,0mm,0mm" style="mso-fit-shape-to-text:t;">
                <w:txbxContent>
                  <w:p>
                    <w:pPr>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0&#10;3xAdtwEAAFQDAAAOAAAAAAAAAAEAIAAAAB4BAABkcnMvZTJvRG9jLnhtbFBLBQYAAAAABgAGAFkB&#10;AABHBQ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2559050</wp:posOffset>
              </wp:positionH>
              <wp:positionV relativeFrom="paragraph">
                <wp:posOffset>0</wp:posOffset>
              </wp:positionV>
              <wp:extent cx="42799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427990" cy="1828800"/>
                      </a:xfrm>
                      <a:prstGeom prst="rect">
                        <a:avLst/>
                      </a:prstGeom>
                      <a:noFill/>
                      <a:ln w="9525">
                        <a:noFill/>
                      </a:ln>
                      <a:effectLst/>
                    </wps:spPr>
                    <wps:txbx>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lIns="0" tIns="0" rIns="0" bIns="0" upright="0">
                      <a:spAutoFit/>
                    </wps:bodyPr>
                  </wps:wsp>
                </a:graphicData>
              </a:graphic>
            </wp:anchor>
          </w:drawing>
        </mc:Choice>
        <mc:Fallback>
          <w:pict>
            <v:shape id="文本框 8" o:spid="_x0000_s1026" o:spt="202" type="#_x0000_t202" style="position:absolute;left:0pt;margin-left:201.5pt;margin-top:0pt;height:144pt;width:33.7pt;mso-position-horizontal-relative:margin;z-index:251659264;mso-width-relative:page;mso-height-relative:page;" filled="f" stroked="f" coordsize="21600,21600" o:gfxdata="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bRUX1gAAAAgBAAAPAAAAAAAAAAEAIAAAACIAAABkcnMvZG93bnJldi54bWxQSwECFAAU&#10;AAAACACHTuJABFIRTboBAABVAwAADgAAAAAAAAABACAAAAAlAQAAZHJzL2Uyb0RvYy54bWxQSwUG&#10;AAAAAAYABgBZAQAAUQUAAAAA&#10;">
              <v:path/>
              <v:fill on="f" focussize="0,0"/>
              <v:stroke on="f" joinstyle="miter"/>
              <v:imagedata o:title=""/>
              <o:lock v:ext="edit"/>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sbdiNrgBAABVAwAADgAAAAAAAAABACAAAAAeAQAAZHJzL2Uyb0RvYy54bWxQSwUGAAAAAAYABgBZ&#10;AQAASAUAAAAA&#1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Jj8nCrgBAABVAwAADgAAAAAAAAABACAAAAAeAQAAZHJzL2Uyb0RvYy54bWxQSwUGAAAAAAYABgBZ&#10;AQAASAUAAAAA&#1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73E90"/>
    <w:rsid w:val="4EB73E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line="600" w:lineRule="exact"/>
      <w:jc w:val="left"/>
    </w:pPr>
    <w:rPr>
      <w:rFonts w:ascii="Calibri" w:hAnsi="Calibri" w:eastAsia="仿宋" w:cs="Times New Roman"/>
      <w:kern w:val="0"/>
      <w:sz w:val="24"/>
      <w:szCs w:val="36"/>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font61"/>
    <w:basedOn w:val="5"/>
    <w:qFormat/>
    <w:uiPriority w:val="0"/>
    <w:rPr>
      <w:rFonts w:hint="default" w:ascii="Times New Roman" w:hAnsi="Times New Roman" w:eastAsia="宋体" w:cs="Times New Roman"/>
      <w:color w:val="000000"/>
      <w:sz w:val="20"/>
      <w:szCs w:val="20"/>
      <w:u w:val="none"/>
    </w:rPr>
  </w:style>
  <w:style w:type="character" w:customStyle="1" w:styleId="9">
    <w:name w:val="font31"/>
    <w:basedOn w:val="5"/>
    <w:qFormat/>
    <w:uiPriority w:val="0"/>
    <w:rPr>
      <w:rFonts w:hint="eastAsia" w:ascii="宋体" w:hAnsi="宋体" w:eastAsia="宋体" w:cs="宋体"/>
      <w:color w:val="000000"/>
      <w:sz w:val="22"/>
      <w:szCs w:val="22"/>
      <w:u w:val="none"/>
    </w:rPr>
  </w:style>
  <w:style w:type="character" w:customStyle="1" w:styleId="10">
    <w:name w:val="font41"/>
    <w:basedOn w:val="5"/>
    <w:qFormat/>
    <w:uiPriority w:val="0"/>
    <w:rPr>
      <w:rFonts w:hint="default" w:ascii="font-weight : 400" w:hAnsi="font-weight : 400" w:eastAsia="font-weight : 400" w:cs="font-weight : 400"/>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2011-09-10T11:36:00Z</dcterms:created>
  <dc:creator>Administrator</dc:creator>
  <cp:lastModifiedBy>Administrator</cp:lastModifiedBy>
  <dcterms:modified xsi:type="dcterms:W3CDTF">2011-09-10T11:37:56Z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