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contextualSpacing/>
        <w:rPr>
          <w:rFonts w:hint="eastAsia" w:ascii="宋体" w:hAnsi="宋体"/>
          <w:b/>
          <w:color w:val="000000"/>
          <w:sz w:val="22"/>
          <w:szCs w:val="22"/>
        </w:rPr>
      </w:pPr>
      <w:r>
        <w:rPr>
          <w:rFonts w:hint="eastAsia" w:ascii="宋体" w:hAnsi="宋体"/>
          <w:b/>
          <w:color w:val="000000"/>
          <w:sz w:val="22"/>
          <w:szCs w:val="22"/>
        </w:rPr>
        <w:t>附件1</w:t>
      </w:r>
    </w:p>
    <w:p>
      <w:pPr>
        <w:widowControl/>
        <w:spacing w:line="380" w:lineRule="exact"/>
        <w:jc w:val="center"/>
        <w:rPr>
          <w:rFonts w:hint="eastAsia" w:ascii="黑体" w:hAnsi="宋体" w:eastAsia="黑体"/>
          <w:color w:val="000000"/>
          <w:sz w:val="30"/>
          <w:szCs w:val="30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农村饮水安全工程建设验收评分表</w:t>
      </w:r>
    </w:p>
    <w:p>
      <w:pPr>
        <w:widowControl/>
        <w:spacing w:line="380" w:lineRule="exact"/>
        <w:rPr>
          <w:rFonts w:hint="eastAsia" w:ascii="宋体" w:hAnsi="宋体"/>
          <w:color w:val="000000"/>
          <w:sz w:val="22"/>
          <w:szCs w:val="22"/>
        </w:rPr>
      </w:pPr>
      <w:r>
        <w:rPr>
          <w:rFonts w:hint="eastAsia" w:ascii="宋体" w:hAnsi="宋体"/>
          <w:color w:val="000000"/>
          <w:sz w:val="22"/>
          <w:szCs w:val="22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2"/>
          <w:szCs w:val="22"/>
        </w:rPr>
        <w:t>省</w:t>
      </w:r>
      <w:r>
        <w:rPr>
          <w:rFonts w:hint="eastAsia" w:ascii="宋体" w:hAnsi="宋体"/>
          <w:color w:val="000000"/>
          <w:sz w:val="22"/>
          <w:szCs w:val="22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2"/>
          <w:szCs w:val="22"/>
        </w:rPr>
        <w:t>市</w:t>
      </w:r>
      <w:r>
        <w:rPr>
          <w:rFonts w:hint="eastAsia" w:ascii="宋体" w:hAnsi="宋体"/>
          <w:color w:val="000000"/>
          <w:sz w:val="22"/>
          <w:szCs w:val="22"/>
          <w:u w:val="single"/>
        </w:rPr>
        <w:t xml:space="preserve">             </w:t>
      </w:r>
      <w:r>
        <w:rPr>
          <w:rFonts w:hint="eastAsia" w:ascii="宋体" w:hAnsi="宋体"/>
          <w:color w:val="000000"/>
          <w:sz w:val="22"/>
          <w:szCs w:val="22"/>
        </w:rPr>
        <w:t>县</w:t>
      </w:r>
      <w:r>
        <w:rPr>
          <w:rFonts w:hint="eastAsia" w:ascii="宋体" w:hAnsi="宋体"/>
          <w:bCs/>
          <w:color w:val="000000"/>
          <w:sz w:val="22"/>
          <w:szCs w:val="22"/>
        </w:rPr>
        <w:t>（市、区）</w:t>
      </w:r>
    </w:p>
    <w:tbl>
      <w:tblPr>
        <w:tblStyle w:val="3"/>
        <w:tblW w:w="80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5"/>
        <w:gridCol w:w="2835"/>
        <w:gridCol w:w="1559"/>
        <w:gridCol w:w="127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5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评分内容</w:t>
            </w:r>
          </w:p>
        </w:tc>
        <w:tc>
          <w:tcPr>
            <w:tcW w:w="155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赋分标准(分)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评分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一、组织管理（10分）</w:t>
            </w: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1.责任制落实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2.“三项机制”的建立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二、前期工作（10分）</w:t>
            </w: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1.《规划》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2.年度项目可研报告、初步设计或实施方案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三、建设管理（20分）</w:t>
            </w: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1.任务完成情况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2.建设管理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3.档案管理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四、质量管理（15分）</w:t>
            </w: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1.质量管理机制建立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2.隐蔽工程验收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3.工程合格率</w:t>
            </w:r>
            <w:r>
              <w:rPr>
                <w:rFonts w:hint="eastAsia" w:ascii="宋体" w:hAnsi="宋体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五、资金筹措和使用</w:t>
            </w:r>
          </w:p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（10分）</w:t>
            </w: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1.地方建设资金落实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2.资金使用管理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六、运行管理（25分）</w:t>
            </w: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1.管理体制和运行机制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2.水源保护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3.社会化服务和应急机制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4.水质检测和监测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5.水价和水费计收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七、工程效果（10分）</w:t>
            </w: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1.已建工程供水效果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2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2.群众满意度</w:t>
            </w: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26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总 分</w:t>
            </w:r>
          </w:p>
        </w:tc>
        <w:tc>
          <w:tcPr>
            <w:tcW w:w="1559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80" w:lineRule="exact"/>
              <w:textAlignment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napToGrid w:val="0"/>
        <w:spacing w:line="380" w:lineRule="exact"/>
        <w:rPr>
          <w:rFonts w:ascii="宋体" w:hAnsi="宋体"/>
          <w:color w:val="000000"/>
          <w:sz w:val="22"/>
          <w:szCs w:val="22"/>
        </w:rPr>
        <w:sectPr>
          <w:pgSz w:w="10490" w:h="14742"/>
          <w:pgMar w:top="1644" w:right="1134" w:bottom="1134" w:left="1134" w:header="1134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color w:val="000000"/>
          <w:sz w:val="22"/>
          <w:szCs w:val="22"/>
        </w:rPr>
        <w:t>备注：带*标记的为二级关键性指标。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C4257"/>
    <w:rsid w:val="2F8C42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省水利厅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2011-09-10T09:53:00Z</dcterms:created>
  <dc:creator>Administrator</dc:creator>
  <cp:lastModifiedBy>Administrator</cp:lastModifiedBy>
  <dcterms:modified xsi:type="dcterms:W3CDTF">2011-09-10T09:54:05Z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