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仿宋_GB2312" w:hAnsi="仿宋" w:eastAsia="仿宋_GB2312"/>
          <w:color w:val="000000"/>
          <w:szCs w:val="32"/>
        </w:rPr>
      </w:pPr>
      <w:r>
        <w:rPr>
          <w:rFonts w:hint="eastAsia" w:ascii="黑体" w:hAnsi="黑体" w:eastAsia="黑体" w:cs="黑体"/>
          <w:color w:val="000000"/>
          <w:szCs w:val="32"/>
        </w:rPr>
        <w:t>附</w:t>
      </w:r>
      <w:r>
        <w:rPr>
          <w:rFonts w:hint="eastAsia" w:ascii="黑体" w:hAnsi="黑体" w:eastAsia="黑体" w:cs="黑体"/>
          <w:color w:val="000000"/>
          <w:szCs w:val="32"/>
          <w:lang w:eastAsia="zh-CN"/>
        </w:rPr>
        <w:t>表</w:t>
      </w:r>
    </w:p>
    <w:p>
      <w:pPr>
        <w:snapToGrid w:val="0"/>
        <w:jc w:val="center"/>
        <w:rPr>
          <w:rFonts w:ascii="方正小标宋简体" w:eastAsia="方正小标宋简体"/>
          <w:szCs w:val="32"/>
        </w:rPr>
      </w:pPr>
      <w:r>
        <w:rPr>
          <w:rFonts w:hint="eastAsia" w:ascii="方正小标宋简体" w:eastAsia="方正小标宋简体"/>
          <w:szCs w:val="32"/>
        </w:rPr>
        <w:t>项目法人履职情况检查记录表</w:t>
      </w:r>
    </w:p>
    <w:tbl>
      <w:tblPr>
        <w:tblStyle w:val="6"/>
        <w:tblW w:w="9471" w:type="dxa"/>
        <w:jc w:val="center"/>
        <w:tblInd w:w="0" w:type="dxa"/>
        <w:tblLayout w:type="fixed"/>
        <w:tblCellMar>
          <w:top w:w="0" w:type="dxa"/>
          <w:left w:w="108" w:type="dxa"/>
          <w:bottom w:w="0" w:type="dxa"/>
          <w:right w:w="108" w:type="dxa"/>
        </w:tblCellMar>
      </w:tblPr>
      <w:tblGrid>
        <w:gridCol w:w="936"/>
        <w:gridCol w:w="6470"/>
        <w:gridCol w:w="2065"/>
      </w:tblGrid>
      <w:tr>
        <w:tblPrEx>
          <w:tblLayout w:type="fixed"/>
          <w:tblCellMar>
            <w:top w:w="0" w:type="dxa"/>
            <w:left w:w="108" w:type="dxa"/>
            <w:bottom w:w="0" w:type="dxa"/>
            <w:right w:w="108" w:type="dxa"/>
          </w:tblCellMar>
        </w:tblPrEx>
        <w:trPr>
          <w:trHeight w:val="416" w:hRule="atLeast"/>
          <w:tblHeader/>
          <w:jc w:val="center"/>
        </w:trPr>
        <w:tc>
          <w:tcPr>
            <w:tcW w:w="740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检查内容</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检查结果</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项目法人具备独立法人资格，具备与工程规模和技术复杂程度相适应的组织机构，人数满足工程建设管理需要（30,12人），工程专业技术人员原则上不少于50%。</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项目法人主要负责人应为专职人员；大型工程技术负责人应具有高级技术职称或职业资格。</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是否按照基本建设程序要求，及时开展可研、初设报批。</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依法开展勘察、设计、监理、施工、咨询和材料、设备招标或采购，及时签订有关合同。</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根据工程建设需要，组建现场管理机构，任免其管理、技术、财务等重要岗位负责人。</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工程开工前，办理质量与安全监督手续。</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在办理安全监督手续之日起15个工作日内将保证安全生产的措施方案及有关材料报具有管辖权的水行政主管部门或其委托的水利工程建设安全生产监督机构备案。督促施工企业购买安全生产责任保险。</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主体工程开工前，报批工程项目划分。</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工程开工15日内，办理开工备案。</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工程开工备案后60日内，报备法人验收计划。</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成立安全生产领导小组，设置或明确安全生产管理机构，配备安全生产管理人员，为现场管理人员购买工伤保险、意外伤害险等必要的保险。</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组织开展危险源辨识与风险评价，落实分级管控责任。开展事故隐患排查。</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结合工程实际，制定质量、安全、计划执行、设计、财务、合同、档案等各项管理制度，定期开展制度执行情况自查。</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组织制定生产安全事故综合应急预案、专项应急预案、现场处置方案，并组织演练。</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15</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组织编制、审核、上报在建工程度汛方案和应急预案，落实安全度汛措施，组织应急预案演练。</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64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规范安全生产费用管理，按合同约定进行审核和支付。</w:t>
            </w:r>
          </w:p>
        </w:tc>
        <w:tc>
          <w:tcPr>
            <w:tcW w:w="2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落实质量终身责任制。督促参建单位项目负责人在办理工程质量监督手续前签署工程质量终身责任承诺书，连同项目负责人证明材料，报工程质量监督机构备案。工程建设期间，在工程施工现场明显部位设立质量责任公示牌，建立质量终身责任信息档案。工程竣工验收合格后，在工程明显部位设置质量终身责任永久性标识。</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组织施工图技术审查，按规定进行设计变更。</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19</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组织设计交底工作，参与工程重点部位、关键环节的安全技术交底，组织解决工程建设中的重大技术问题。</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依据批准的设计文件，组织制订工程建设执行技术标准清单，明确工程建设质量标准。</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21</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检查勘察、设计、施工、监理、检测等参建单位的现场组织机构、管理制度及技术文件的建立和执行情况。</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22</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对工程主要原材料、中间产品和实体质量进行必要的抽检。</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23</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组织编制、审核、上报年度建设计划和资金预算。</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24</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按照批准的概算控制工程投资，按时完成年度建设任务和投资计划。</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956"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25</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加强合同履约管理，核查参建单位相关许可证件和现场管理机构人员执业资格证书等信息，对主要管理人员到岗情况进行考勤，严格控制其他参建单位主要管理人员的变更。</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bookmarkStart w:id="0" w:name="_GoBack"/>
            <w:r>
              <w:rPr>
                <w:rFonts w:hint="eastAsia" w:ascii="宋体" w:hAnsi="宋体" w:eastAsia="宋体" w:cs="宋体"/>
                <w:color w:val="000000"/>
                <w:kern w:val="0"/>
                <w:sz w:val="21"/>
                <w:szCs w:val="21"/>
              </w:rPr>
              <w:t>26</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积极组织主要管理人员参加建设管理、质量管理、安全生产管理等方面培训。</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bookmarkEnd w:id="0"/>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27</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接受并配合有关部门开展的审计、稽察、巡查等各类监督检查，组织落实整改要求。</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28</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接受并配合质量与安全监督机构开展的监督活动，按规定做好相关备案、核备等工作。</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29</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加强农民工工资管理。督促落实农民工实名制、开设农民工工资专用账户、代发工资等制度，实行人工费用与其他工程款分账管理，杜绝拖欠农民工工资。</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30</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规范投标保证金、履约保证金、质量保证金、农民工工资保证金等涉企保证金管理，按规定收取和退还保证金。对采取保函方式的，应对保函的真实性和时效性进行检查。</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及时组织或参与有关验收。</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32</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组织编制项目竣工财务决算，并按规定报送项目主管部门审核批复。</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33</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建立或落实档案库房，负责工程档案资料的管理，对参建单位档案资料的收集、整理、归档工作进行监督检查。</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34</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组织参建单位编制竣工验收资料，完成竣工验收技术鉴定（大型水利工程）和验收自查。</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35</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提出竣工验收申请，做好竣工验收相关工作。</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97" w:hRule="atLeast"/>
          <w:jc w:val="center"/>
        </w:trPr>
        <w:tc>
          <w:tcPr>
            <w:tcW w:w="93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36</w:t>
            </w:r>
          </w:p>
        </w:tc>
        <w:tc>
          <w:tcPr>
            <w:tcW w:w="6470" w:type="dxa"/>
            <w:tcBorders>
              <w:top w:val="nil"/>
              <w:left w:val="nil"/>
              <w:bottom w:val="single" w:color="auto" w:sz="4" w:space="0"/>
              <w:right w:val="single" w:color="auto" w:sz="4" w:space="0"/>
            </w:tcBorders>
            <w:vAlign w:val="center"/>
          </w:tcPr>
          <w:p>
            <w:pPr>
              <w:widowControl/>
              <w:snapToGrid w:val="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竣工验收后及时办理工程移交手续。</w:t>
            </w:r>
          </w:p>
        </w:tc>
        <w:tc>
          <w:tcPr>
            <w:tcW w:w="2065"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2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w:t>
            </w:r>
          </w:p>
          <w:p>
            <w:pPr>
              <w:widowControl/>
              <w:snapToGrid w:val="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问题</w:t>
            </w:r>
          </w:p>
        </w:tc>
        <w:tc>
          <w:tcPr>
            <w:tcW w:w="8535"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eastAsia="宋体" w:cs="宋体"/>
                <w:color w:val="000000"/>
                <w:kern w:val="0"/>
                <w:sz w:val="21"/>
                <w:szCs w:val="21"/>
              </w:rPr>
            </w:pPr>
          </w:p>
        </w:tc>
      </w:tr>
    </w:tbl>
    <w:p>
      <w:pPr>
        <w:ind w:firstLine="2380" w:firstLineChars="850"/>
        <w:rPr>
          <w:rFonts w:hint="eastAsia"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金山简标宋">
    <w:altName w:val="宋体"/>
    <w:panose1 w:val="0201060900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E24CE"/>
    <w:rsid w:val="6D4E24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header"/>
    <w:basedOn w:val="1"/>
    <w:next w:val="1"/>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uiPriority w:val="0"/>
    <w:pPr>
      <w:ind w:firstLine="420" w:firstLineChars="200"/>
    </w:pPr>
    <w:rPr>
      <w:rFonts w:ascii="Times New Roman" w:hAnsi="Times New Roman" w:eastAsia="仿宋" w:cs="Times New Roman"/>
      <w:szCs w:val="20"/>
    </w:rPr>
  </w:style>
  <w:style w:type="paragraph" w:styleId="4">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2011-09-10T05:14:00Z</dcterms:created>
  <dc:creator>Administrator</dc:creator>
  <cp:lastModifiedBy>Administrator</cp:lastModifiedBy>
  <dcterms:modified xsi:type="dcterms:W3CDTF">2011-09-10T05:14:50Z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